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E1FE" w14:textId="77777777" w:rsidR="005D6D2B" w:rsidRDefault="005D6D2B" w:rsidP="00BF44AD"/>
    <w:p w14:paraId="52F6CC5A" w14:textId="37431529" w:rsidR="005D6D2B" w:rsidRDefault="00125F9F" w:rsidP="00BF44AD">
      <w:r w:rsidRPr="005D6D2B">
        <w:rPr>
          <w:noProof/>
          <w:lang w:eastAsia="de-DE" w:bidi="ne-NP"/>
        </w:rPr>
        <mc:AlternateContent>
          <mc:Choice Requires="wps">
            <w:drawing>
              <wp:anchor distT="0" distB="0" distL="114300" distR="114300" simplePos="0" relativeHeight="251661312" behindDoc="0" locked="0" layoutInCell="1" allowOverlap="1" wp14:anchorId="27938FCF" wp14:editId="04F40ADA">
                <wp:simplePos x="0" y="0"/>
                <wp:positionH relativeFrom="column">
                  <wp:posOffset>-78105</wp:posOffset>
                </wp:positionH>
                <wp:positionV relativeFrom="page">
                  <wp:posOffset>7540625</wp:posOffset>
                </wp:positionV>
                <wp:extent cx="4724400" cy="2073275"/>
                <wp:effectExtent l="0" t="0" r="0" b="0"/>
                <wp:wrapNone/>
                <wp:docPr id="3" name="Textfeld 3"/>
                <wp:cNvGraphicFramePr/>
                <a:graphic xmlns:a="http://schemas.openxmlformats.org/drawingml/2006/main">
                  <a:graphicData uri="http://schemas.microsoft.com/office/word/2010/wordprocessingShape">
                    <wps:wsp>
                      <wps:cNvSpPr txBox="1"/>
                      <wps:spPr>
                        <a:xfrm>
                          <a:off x="0" y="0"/>
                          <a:ext cx="4724400" cy="2073275"/>
                        </a:xfrm>
                        <a:prstGeom prst="rect">
                          <a:avLst/>
                        </a:prstGeom>
                        <a:noFill/>
                        <a:ln w="6350">
                          <a:noFill/>
                        </a:ln>
                      </wps:spPr>
                      <wps:txbx>
                        <w:txbxContent>
                          <w:p w14:paraId="77506E68" w14:textId="77777777" w:rsidR="00A242C6" w:rsidRPr="006A16E6" w:rsidRDefault="00A242C6" w:rsidP="00BF44AD">
                            <w:r w:rsidRPr="006A16E6">
                              <w:t>Allgemeines</w:t>
                            </w:r>
                          </w:p>
                          <w:p w14:paraId="63A87F2B" w14:textId="77777777" w:rsidR="00A242C6" w:rsidRPr="00564471" w:rsidRDefault="00A242C6" w:rsidP="00BF44AD">
                            <w:r w:rsidRPr="00564471">
                              <w:t>Mit dem vorliegenden Mandanten-Informationsbrief möchten wir Sie wieder über verschiedene interessante und aktuelle Themen informieren – ein bunter Strauß aus Praxisfragen, Rechtsprechung und Gesetzgebung.</w:t>
                            </w:r>
                          </w:p>
                          <w:p w14:paraId="52238A55" w14:textId="77777777" w:rsidR="00A242C6" w:rsidRPr="00564471" w:rsidRDefault="00A242C6" w:rsidP="00BF44AD"/>
                          <w:p w14:paraId="387EC66E" w14:textId="77777777" w:rsidR="00A242C6" w:rsidRPr="00564471" w:rsidRDefault="00A242C6" w:rsidP="00BF44AD">
                            <w:r w:rsidRPr="00564471">
                              <w:t xml:space="preserve">Der nächste Mandanten-Informationsbrief wird am </w:t>
                            </w:r>
                            <w:r>
                              <w:rPr>
                                <w:rStyle w:val="Fett"/>
                                <w:color w:val="2F5496" w:themeColor="accent1" w:themeShade="BF"/>
                              </w:rPr>
                              <w:t>01. März 2020</w:t>
                            </w:r>
                            <w:r w:rsidRPr="00564471">
                              <w:t xml:space="preserve"> erscheinen.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938FCF" id="_x0000_t202" coordsize="21600,21600" o:spt="202" path="m,l,21600r21600,l21600,xe">
                <v:stroke joinstyle="miter"/>
                <v:path gradientshapeok="t" o:connecttype="rect"/>
              </v:shapetype>
              <v:shape id="Textfeld 3" o:spid="_x0000_s1026" type="#_x0000_t202" style="position:absolute;left:0;text-align:left;margin-left:-6.15pt;margin-top:593.75pt;width:372pt;height:1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" filled="f" stroked="f" strokeweight=".5pt">
                <v:textbox>
                  <w:txbxContent>
                    <w:p w14:paraId="77506E68" w14:textId="77777777" w:rsidR="00A242C6" w:rsidRPr="006A16E6" w:rsidRDefault="00A242C6" w:rsidP="00BF44AD">
                      <w:r w:rsidRPr="006A16E6">
                        <w:t>Allgemeines</w:t>
                      </w:r>
                    </w:p>
                    <w:p w14:paraId="63A87F2B" w14:textId="77777777" w:rsidR="00A242C6" w:rsidRPr="00564471" w:rsidRDefault="00A242C6" w:rsidP="00BF44AD">
                      <w:r w:rsidRPr="00564471">
                        <w:t>Mit dem vorliegenden Mandanten-Informationsbrief möchten wir Sie wieder über verschiedene interessante und aktuelle Themen informieren – ein bunter Strauß aus Praxisfragen, Rechtsprechung und Gesetzgebung.</w:t>
                      </w:r>
                    </w:p>
                    <w:p w14:paraId="52238A55" w14:textId="77777777" w:rsidR="00A242C6" w:rsidRPr="00564471" w:rsidRDefault="00A242C6" w:rsidP="00BF44AD"/>
                    <w:p w14:paraId="387EC66E" w14:textId="77777777" w:rsidR="00A242C6" w:rsidRPr="00564471" w:rsidRDefault="00A242C6" w:rsidP="00BF44AD">
                      <w:r w:rsidRPr="00564471">
                        <w:t xml:space="preserve">Der nächste Mandanten-Informationsbrief wird am </w:t>
                      </w:r>
                      <w:r>
                        <w:rPr>
                          <w:rStyle w:val="Fett"/>
                          <w:color w:val="2F5496" w:themeColor="accent1" w:themeShade="BF"/>
                        </w:rPr>
                        <w:t>01. März 2020</w:t>
                      </w:r>
                      <w:r w:rsidRPr="00564471">
                        <w:t xml:space="preserve"> erscheinen.</w:t>
                      </w:r>
                    </w:p>
                  </w:txbxContent>
                </v:textbox>
                <w10:wrap anchory="page"/>
              </v:shape>
            </w:pict>
          </mc:Fallback>
        </mc:AlternateContent>
      </w:r>
      <w:r w:rsidR="00E84791" w:rsidRPr="005D6D2B">
        <w:rPr>
          <w:noProof/>
          <w:lang w:eastAsia="de-DE" w:bidi="ne-NP"/>
        </w:rPr>
        <mc:AlternateContent>
          <mc:Choice Requires="wps">
            <w:drawing>
              <wp:anchor distT="0" distB="0" distL="114300" distR="114300" simplePos="0" relativeHeight="251660288" behindDoc="0" locked="0" layoutInCell="1" allowOverlap="1" wp14:anchorId="6642DAF8" wp14:editId="2DD74E2C">
                <wp:simplePos x="0" y="0"/>
                <wp:positionH relativeFrom="column">
                  <wp:posOffset>-138430</wp:posOffset>
                </wp:positionH>
                <wp:positionV relativeFrom="page">
                  <wp:posOffset>3314700</wp:posOffset>
                </wp:positionV>
                <wp:extent cx="6032500" cy="1955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032500" cy="1955800"/>
                        </a:xfrm>
                        <a:prstGeom prst="rect">
                          <a:avLst/>
                        </a:prstGeom>
                        <a:noFill/>
                        <a:ln w="6350">
                          <a:noFill/>
                        </a:ln>
                      </wps:spPr>
                      <wps:txbx>
                        <w:txbxContent>
                          <w:p w14:paraId="7073BF0D" w14:textId="77777777" w:rsidR="00A242C6" w:rsidRPr="00E84791" w:rsidRDefault="00A242C6" w:rsidP="00E84791">
                            <w:pPr>
                              <w:spacing w:line="240" w:lineRule="auto"/>
                              <w:rPr>
                                <w:rFonts w:ascii="Candara" w:hAnsi="Candara"/>
                                <w:color w:val="1F3864" w:themeColor="accent1" w:themeShade="80"/>
                                <w:sz w:val="72"/>
                                <w:szCs w:val="160"/>
                              </w:rPr>
                            </w:pPr>
                            <w:r w:rsidRPr="00E84791">
                              <w:rPr>
                                <w:rFonts w:ascii="Candara" w:hAnsi="Candara"/>
                                <w:color w:val="1F3864" w:themeColor="accent1" w:themeShade="80"/>
                                <w:sz w:val="72"/>
                                <w:szCs w:val="160"/>
                              </w:rPr>
                              <w:t>MANDANTEN-</w:t>
                            </w:r>
                          </w:p>
                          <w:p w14:paraId="23755ACC" w14:textId="77777777" w:rsidR="00A242C6" w:rsidRPr="006538E0" w:rsidRDefault="00A242C6" w:rsidP="00E84791">
                            <w:pPr>
                              <w:spacing w:line="240" w:lineRule="auto"/>
                              <w:rPr>
                                <w:rFonts w:ascii="Candara" w:hAnsi="Candara"/>
                                <w:b/>
                                <w:bCs/>
                                <w:color w:val="FFFFFF" w:themeColor="background1"/>
                                <w:sz w:val="72"/>
                                <w:szCs w:val="160"/>
                              </w:rPr>
                            </w:pPr>
                            <w:r w:rsidRPr="006538E0">
                              <w:rPr>
                                <w:rFonts w:ascii="Candara" w:hAnsi="Candara"/>
                                <w:b/>
                                <w:bCs/>
                                <w:color w:val="FFFFFF" w:themeColor="background1"/>
                                <w:sz w:val="72"/>
                                <w:szCs w:val="160"/>
                              </w:rPr>
                              <w:t>INFORMATIONSBRIEF</w:t>
                            </w:r>
                          </w:p>
                          <w:p w14:paraId="68290E5C" w14:textId="77777777" w:rsidR="00A242C6" w:rsidRPr="00E84791" w:rsidRDefault="00A242C6" w:rsidP="00E84791">
                            <w:pPr>
                              <w:spacing w:line="240" w:lineRule="auto"/>
                              <w:rPr>
                                <w:rFonts w:ascii="Candara" w:hAnsi="Candara"/>
                                <w:color w:val="7F7F7F" w:themeColor="text1" w:themeTint="80"/>
                                <w:sz w:val="40"/>
                                <w:szCs w:val="52"/>
                              </w:rPr>
                            </w:pPr>
                            <w:r w:rsidRPr="00E84791">
                              <w:rPr>
                                <w:rFonts w:ascii="Candara" w:hAnsi="Candara"/>
                                <w:color w:val="7F7F7F" w:themeColor="text1" w:themeTint="80"/>
                                <w:sz w:val="40"/>
                                <w:szCs w:val="52"/>
                              </w:rPr>
                              <w:t xml:space="preserve">zum </w:t>
                            </w:r>
                            <w:r>
                              <w:rPr>
                                <w:rFonts w:ascii="Candara" w:hAnsi="Candara"/>
                                <w:color w:val="7F7F7F" w:themeColor="text1" w:themeTint="80"/>
                                <w:sz w:val="40"/>
                                <w:szCs w:val="52"/>
                              </w:rPr>
                              <w:t>Jahresende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2DAF8" id="Textfeld 1" o:spid="_x0000_s1027" type="#_x0000_t202" style="position:absolute;left:0;text-align:left;margin-left:-10.9pt;margin-top:261pt;width:475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" filled="f" stroked="f" strokeweight=".5pt">
                <v:textbox>
                  <w:txbxContent>
                    <w:p w14:paraId="7073BF0D" w14:textId="77777777" w:rsidR="00A242C6" w:rsidRPr="00E84791" w:rsidRDefault="00A242C6" w:rsidP="00E84791">
                      <w:pPr>
                        <w:spacing w:line="240" w:lineRule="auto"/>
                        <w:rPr>
                          <w:rFonts w:ascii="Candara" w:hAnsi="Candara"/>
                          <w:color w:val="1F3864" w:themeColor="accent1" w:themeShade="80"/>
                          <w:sz w:val="72"/>
                          <w:szCs w:val="160"/>
                        </w:rPr>
                      </w:pPr>
                      <w:r w:rsidRPr="00E84791">
                        <w:rPr>
                          <w:rFonts w:ascii="Candara" w:hAnsi="Candara"/>
                          <w:color w:val="1F3864" w:themeColor="accent1" w:themeShade="80"/>
                          <w:sz w:val="72"/>
                          <w:szCs w:val="160"/>
                        </w:rPr>
                        <w:t>MANDANTEN-</w:t>
                      </w:r>
                    </w:p>
                    <w:p w14:paraId="23755ACC" w14:textId="77777777" w:rsidR="00A242C6" w:rsidRPr="006538E0" w:rsidRDefault="00A242C6" w:rsidP="00E84791">
                      <w:pPr>
                        <w:spacing w:line="240" w:lineRule="auto"/>
                        <w:rPr>
                          <w:rFonts w:ascii="Candara" w:hAnsi="Candara"/>
                          <w:b/>
                          <w:bCs/>
                          <w:color w:val="FFFFFF" w:themeColor="background1"/>
                          <w:sz w:val="72"/>
                          <w:szCs w:val="160"/>
                        </w:rPr>
                      </w:pPr>
                      <w:r w:rsidRPr="006538E0">
                        <w:rPr>
                          <w:rFonts w:ascii="Candara" w:hAnsi="Candara"/>
                          <w:b/>
                          <w:bCs/>
                          <w:color w:val="FFFFFF" w:themeColor="background1"/>
                          <w:sz w:val="72"/>
                          <w:szCs w:val="160"/>
                        </w:rPr>
                        <w:t>INFORMATIONSBRIEF</w:t>
                      </w:r>
                    </w:p>
                    <w:p w14:paraId="68290E5C" w14:textId="77777777" w:rsidR="00A242C6" w:rsidRPr="00E84791" w:rsidRDefault="00A242C6" w:rsidP="00E84791">
                      <w:pPr>
                        <w:spacing w:line="240" w:lineRule="auto"/>
                        <w:rPr>
                          <w:rFonts w:ascii="Candara" w:hAnsi="Candara"/>
                          <w:color w:val="7F7F7F" w:themeColor="text1" w:themeTint="80"/>
                          <w:sz w:val="40"/>
                          <w:szCs w:val="52"/>
                        </w:rPr>
                      </w:pPr>
                      <w:r w:rsidRPr="00E84791">
                        <w:rPr>
                          <w:rFonts w:ascii="Candara" w:hAnsi="Candara"/>
                          <w:color w:val="7F7F7F" w:themeColor="text1" w:themeTint="80"/>
                          <w:sz w:val="40"/>
                          <w:szCs w:val="52"/>
                        </w:rPr>
                        <w:t xml:space="preserve">zum </w:t>
                      </w:r>
                      <w:r>
                        <w:rPr>
                          <w:rFonts w:ascii="Candara" w:hAnsi="Candara"/>
                          <w:color w:val="7F7F7F" w:themeColor="text1" w:themeTint="80"/>
                          <w:sz w:val="40"/>
                          <w:szCs w:val="52"/>
                        </w:rPr>
                        <w:t>Jahresende 2019</w:t>
                      </w:r>
                    </w:p>
                  </w:txbxContent>
                </v:textbox>
                <w10:wrap anchory="page"/>
              </v:shape>
            </w:pict>
          </mc:Fallback>
        </mc:AlternateContent>
      </w:r>
      <w:r w:rsidR="0060233C" w:rsidRPr="005D6D2B">
        <w:rPr>
          <w:noProof/>
          <w:lang w:eastAsia="de-DE" w:bidi="ne-NP"/>
        </w:rPr>
        <mc:AlternateContent>
          <mc:Choice Requires="wps">
            <w:drawing>
              <wp:anchor distT="0" distB="0" distL="114300" distR="114300" simplePos="0" relativeHeight="251659264" behindDoc="0" locked="0" layoutInCell="1" allowOverlap="1" wp14:anchorId="37DEC9B3" wp14:editId="4D55993D">
                <wp:simplePos x="0" y="0"/>
                <wp:positionH relativeFrom="column">
                  <wp:posOffset>-189230</wp:posOffset>
                </wp:positionH>
                <wp:positionV relativeFrom="page">
                  <wp:posOffset>4025900</wp:posOffset>
                </wp:positionV>
                <wp:extent cx="6959600" cy="546100"/>
                <wp:effectExtent l="0" t="0" r="0" b="0"/>
                <wp:wrapNone/>
                <wp:docPr id="2" name="Rechteck 2"/>
                <wp:cNvGraphicFramePr/>
                <a:graphic xmlns:a="http://schemas.openxmlformats.org/drawingml/2006/main">
                  <a:graphicData uri="http://schemas.microsoft.com/office/word/2010/wordprocessingShape">
                    <wps:wsp>
                      <wps:cNvSpPr/>
                      <wps:spPr>
                        <a:xfrm>
                          <a:off x="0" y="0"/>
                          <a:ext cx="6959600" cy="546100"/>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2A70B" id="Rechteck 2" o:spid="_x0000_s1026" style="position:absolute;margin-left:-14.9pt;margin-top:317pt;width:54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" fillcolor="#2f5496 [2404]" stroked="f" strokeweight="1pt">
                <v:fill color2="#8eaadb [1940]" rotate="t" angle="135" colors="0 #2f5597;34079f #2f5597" focus="100%" type="gradient">
                  <o:fill v:ext="view" type="gradientUnscaled"/>
                </v:fill>
                <w10:wrap anchory="page"/>
              </v:rect>
            </w:pict>
          </mc:Fallback>
        </mc:AlternateContent>
      </w:r>
      <w:r w:rsidR="005D6D2B">
        <w:br w:type="page"/>
      </w:r>
      <w:bookmarkStart w:id="0" w:name="_GoBack"/>
      <w:bookmarkEnd w:id="0"/>
    </w:p>
    <w:p w14:paraId="48E3F4A4" w14:textId="77777777" w:rsidR="00D94440" w:rsidRDefault="00201832" w:rsidP="00313044">
      <w:pPr>
        <w:rPr>
          <w:rFonts w:asciiTheme="minorHAnsi" w:hAnsiTheme="minorHAnsi" w:cstheme="minorHAnsi"/>
          <w:b/>
          <w:color w:val="2F5496" w:themeColor="accent1" w:themeShade="BF"/>
        </w:rPr>
        <w:sectPr w:rsidR="00D94440" w:rsidSect="00FC017A">
          <w:headerReference w:type="default" r:id="rId8"/>
          <w:footerReference w:type="even" r:id="rId9"/>
          <w:footerReference w:type="default" r:id="rId10"/>
          <w:pgSz w:w="11900" w:h="16840"/>
          <w:pgMar w:top="1838" w:right="1418" w:bottom="1134" w:left="1418" w:header="709" w:footer="709" w:gutter="0"/>
          <w:cols w:space="708"/>
          <w:titlePg/>
          <w:docGrid w:linePitch="360"/>
        </w:sectPr>
      </w:pPr>
      <w:bookmarkStart w:id="1" w:name="_Toc7079814"/>
      <w:bookmarkStart w:id="2" w:name="_Toc8805335"/>
      <w:r w:rsidRPr="00313044">
        <w:rPr>
          <w:rFonts w:asciiTheme="minorHAnsi" w:hAnsiTheme="minorHAnsi" w:cstheme="minorHAnsi"/>
          <w:b/>
          <w:color w:val="2F5496" w:themeColor="accent1" w:themeShade="BF"/>
        </w:rPr>
        <w:lastRenderedPageBreak/>
        <w:t>Inhalt</w:t>
      </w:r>
      <w:bookmarkStart w:id="3" w:name="_Toc7079734"/>
      <w:bookmarkStart w:id="4" w:name="_Toc7079815"/>
      <w:bookmarkEnd w:id="1"/>
      <w:bookmarkEnd w:id="2"/>
    </w:p>
    <w:p w14:paraId="11790077" w14:textId="62C20919" w:rsidR="00F74EA0" w:rsidRDefault="009077C2">
      <w:pPr>
        <w:pStyle w:val="Verzeichnis1"/>
        <w:rPr>
          <w:color w:val="auto"/>
          <w:sz w:val="22"/>
          <w:szCs w:val="22"/>
        </w:rPr>
      </w:pPr>
      <w:r>
        <w:rPr>
          <w:rFonts w:cstheme="minorHAnsi"/>
          <w:b/>
        </w:rPr>
        <w:fldChar w:fldCharType="begin"/>
      </w:r>
      <w:r w:rsidRPr="00313044">
        <w:rPr>
          <w:rFonts w:cstheme="minorHAnsi"/>
          <w:b/>
        </w:rPr>
        <w:instrText xml:space="preserve"> TOC \o "1-1" \n \p " " \h \z \u </w:instrText>
      </w:r>
      <w:r>
        <w:rPr>
          <w:rFonts w:cstheme="minorHAnsi"/>
          <w:b/>
        </w:rPr>
        <w:fldChar w:fldCharType="separate"/>
      </w:r>
      <w:hyperlink w:anchor="_Toc27388498" w:history="1">
        <w:r w:rsidR="00F74EA0" w:rsidRPr="006D3A90">
          <w:rPr>
            <w:rStyle w:val="Hyperlink"/>
          </w:rPr>
          <w:t>1</w:t>
        </w:r>
        <w:r w:rsidR="00F74EA0">
          <w:rPr>
            <w:color w:val="auto"/>
            <w:sz w:val="22"/>
            <w:szCs w:val="22"/>
          </w:rPr>
          <w:tab/>
        </w:r>
        <w:r w:rsidR="00F74EA0" w:rsidRPr="006D3A90">
          <w:rPr>
            <w:rStyle w:val="Hyperlink"/>
          </w:rPr>
          <w:t>Sachbezugswerte 2020</w:t>
        </w:r>
      </w:hyperlink>
    </w:p>
    <w:p w14:paraId="6A1386E8" w14:textId="6CE748D0" w:rsidR="00F74EA0" w:rsidRDefault="005515A0">
      <w:pPr>
        <w:pStyle w:val="Verzeichnis1"/>
        <w:rPr>
          <w:color w:val="auto"/>
          <w:sz w:val="22"/>
          <w:szCs w:val="22"/>
        </w:rPr>
      </w:pPr>
      <w:hyperlink w:anchor="_Toc27388499" w:history="1">
        <w:r w:rsidR="00F74EA0" w:rsidRPr="006D3A90">
          <w:rPr>
            <w:rStyle w:val="Hyperlink"/>
          </w:rPr>
          <w:t>2</w:t>
        </w:r>
        <w:r w:rsidR="00F74EA0">
          <w:rPr>
            <w:color w:val="auto"/>
            <w:sz w:val="22"/>
            <w:szCs w:val="22"/>
          </w:rPr>
          <w:tab/>
        </w:r>
        <w:r w:rsidR="00F74EA0" w:rsidRPr="006D3A90">
          <w:rPr>
            <w:rStyle w:val="Hyperlink"/>
          </w:rPr>
          <w:t>Änderungen durch das Jahressteuergesetz 2019</w:t>
        </w:r>
      </w:hyperlink>
    </w:p>
    <w:p w14:paraId="0A2B5C88" w14:textId="7F383BE6" w:rsidR="00F74EA0" w:rsidRDefault="005515A0">
      <w:pPr>
        <w:pStyle w:val="Verzeichnis1"/>
        <w:rPr>
          <w:color w:val="auto"/>
          <w:sz w:val="22"/>
          <w:szCs w:val="22"/>
        </w:rPr>
      </w:pPr>
      <w:hyperlink w:anchor="_Toc27388500" w:history="1">
        <w:r w:rsidR="00F74EA0" w:rsidRPr="006D3A90">
          <w:rPr>
            <w:rStyle w:val="Hyperlink"/>
          </w:rPr>
          <w:t>3</w:t>
        </w:r>
        <w:r w:rsidR="00F74EA0">
          <w:rPr>
            <w:color w:val="auto"/>
            <w:sz w:val="22"/>
            <w:szCs w:val="22"/>
          </w:rPr>
          <w:tab/>
        </w:r>
        <w:r w:rsidR="00F74EA0" w:rsidRPr="006D3A90">
          <w:rPr>
            <w:rStyle w:val="Hyperlink"/>
          </w:rPr>
          <w:t>Bürokratieentlastungsgesetz III</w:t>
        </w:r>
      </w:hyperlink>
    </w:p>
    <w:p w14:paraId="3C89969D" w14:textId="72FB2FE5" w:rsidR="00F74EA0" w:rsidRDefault="005515A0">
      <w:pPr>
        <w:pStyle w:val="Verzeichnis1"/>
        <w:rPr>
          <w:color w:val="auto"/>
          <w:sz w:val="22"/>
          <w:szCs w:val="22"/>
        </w:rPr>
      </w:pPr>
      <w:hyperlink w:anchor="_Toc27388501" w:history="1">
        <w:r w:rsidR="00F74EA0" w:rsidRPr="006D3A90">
          <w:rPr>
            <w:rStyle w:val="Hyperlink"/>
          </w:rPr>
          <w:t>4</w:t>
        </w:r>
        <w:r w:rsidR="00F74EA0">
          <w:rPr>
            <w:color w:val="auto"/>
            <w:sz w:val="22"/>
            <w:szCs w:val="22"/>
          </w:rPr>
          <w:tab/>
        </w:r>
        <w:r w:rsidR="00F74EA0" w:rsidRPr="006D3A90">
          <w:rPr>
            <w:rStyle w:val="Hyperlink"/>
          </w:rPr>
          <w:t>Rückführung Solidaritätszuschlag ab 2021</w:t>
        </w:r>
      </w:hyperlink>
    </w:p>
    <w:p w14:paraId="0563CA46" w14:textId="46D95AEE" w:rsidR="00F74EA0" w:rsidRDefault="005515A0">
      <w:pPr>
        <w:pStyle w:val="Verzeichnis1"/>
        <w:rPr>
          <w:color w:val="auto"/>
          <w:sz w:val="22"/>
          <w:szCs w:val="22"/>
        </w:rPr>
      </w:pPr>
      <w:hyperlink w:anchor="_Toc27388502" w:history="1">
        <w:r w:rsidR="00F74EA0" w:rsidRPr="006D3A90">
          <w:rPr>
            <w:rStyle w:val="Hyperlink"/>
          </w:rPr>
          <w:t>5</w:t>
        </w:r>
        <w:r w:rsidR="00F74EA0">
          <w:rPr>
            <w:color w:val="auto"/>
            <w:sz w:val="22"/>
            <w:szCs w:val="22"/>
          </w:rPr>
          <w:tab/>
        </w:r>
        <w:r w:rsidR="00F74EA0" w:rsidRPr="006D3A90">
          <w:rPr>
            <w:rStyle w:val="Hyperlink"/>
          </w:rPr>
          <w:t>Belegausgabepflicht für Registrierkassen</w:t>
        </w:r>
      </w:hyperlink>
    </w:p>
    <w:p w14:paraId="60538C9C" w14:textId="6D5B9A4A" w:rsidR="00F74EA0" w:rsidRDefault="005515A0">
      <w:pPr>
        <w:pStyle w:val="Verzeichnis1"/>
        <w:rPr>
          <w:color w:val="auto"/>
          <w:sz w:val="22"/>
          <w:szCs w:val="22"/>
        </w:rPr>
      </w:pPr>
      <w:hyperlink w:anchor="_Toc27388503" w:history="1">
        <w:r w:rsidR="00F74EA0" w:rsidRPr="006D3A90">
          <w:rPr>
            <w:rStyle w:val="Hyperlink"/>
          </w:rPr>
          <w:t>6</w:t>
        </w:r>
        <w:r w:rsidR="00F74EA0">
          <w:rPr>
            <w:color w:val="auto"/>
            <w:sz w:val="22"/>
            <w:szCs w:val="22"/>
          </w:rPr>
          <w:tab/>
        </w:r>
        <w:r w:rsidR="00F74EA0" w:rsidRPr="006D3A90">
          <w:rPr>
            <w:rStyle w:val="Hyperlink"/>
          </w:rPr>
          <w:t>Weitere Informationen</w:t>
        </w:r>
      </w:hyperlink>
    </w:p>
    <w:p w14:paraId="035048B2" w14:textId="00462AD2" w:rsidR="00C330C0" w:rsidRDefault="009077C2" w:rsidP="00C330C0">
      <w:r>
        <w:fldChar w:fldCharType="end"/>
      </w:r>
    </w:p>
    <w:p w14:paraId="199DC277" w14:textId="17D044C1" w:rsidR="005520F8" w:rsidRDefault="005520F8" w:rsidP="00C330C0"/>
    <w:p w14:paraId="2BEA6BDE" w14:textId="5B38EFA0" w:rsidR="00D94440" w:rsidRDefault="00D94440" w:rsidP="00C330C0"/>
    <w:p w14:paraId="4A1A13EB" w14:textId="77777777" w:rsidR="00D94440" w:rsidRDefault="00D94440" w:rsidP="00D94440">
      <w:pPr>
        <w:pStyle w:val="berschrift1"/>
      </w:pPr>
      <w:bookmarkStart w:id="5" w:name="_Toc27388498"/>
      <w:r>
        <w:t>Sachbezugswerte 2020</w:t>
      </w:r>
      <w:bookmarkEnd w:id="5"/>
    </w:p>
    <w:p w14:paraId="324DAE02" w14:textId="657AEFD1" w:rsidR="00D94440" w:rsidRDefault="00D94440" w:rsidP="00D94440">
      <w:r w:rsidRPr="00CE41D6">
        <w:rPr>
          <w:rFonts w:cs="Arial"/>
        </w:rPr>
        <w:t>Der Gesetzgeber hat die Sachbezugswerte ab dem 01.01.20</w:t>
      </w:r>
      <w:r>
        <w:rPr>
          <w:rFonts w:cs="Arial"/>
        </w:rPr>
        <w:t>20</w:t>
      </w:r>
      <w:r w:rsidRPr="00CE41D6">
        <w:rPr>
          <w:rFonts w:cs="Arial"/>
        </w:rPr>
        <w:t xml:space="preserve"> an den Verbraucherpreisindex angepasst. Dieser stieg im Bereich Beherbergungs- und Gaststättenleistungen um 2,</w:t>
      </w:r>
      <w:r>
        <w:rPr>
          <w:rFonts w:cs="Arial"/>
        </w:rPr>
        <w:t>8</w:t>
      </w:r>
      <w:r w:rsidRPr="00CE41D6">
        <w:rPr>
          <w:rFonts w:cs="Arial"/>
        </w:rPr>
        <w:t xml:space="preserve"> % während der Wert für Unterkunft bzw. Mieten um </w:t>
      </w:r>
      <w:r>
        <w:rPr>
          <w:rFonts w:cs="Arial"/>
        </w:rPr>
        <w:t>1,8</w:t>
      </w:r>
      <w:r w:rsidRPr="00CE41D6">
        <w:rPr>
          <w:rFonts w:cs="Arial"/>
        </w:rPr>
        <w:t> % gestiegen ist</w:t>
      </w:r>
    </w:p>
    <w:p w14:paraId="61561409" w14:textId="0B169771" w:rsidR="00D94440" w:rsidRDefault="00D94440" w:rsidP="00C330C0"/>
    <w:p w14:paraId="7CBC8EE8" w14:textId="4F609605" w:rsidR="00D94440" w:rsidRDefault="00D94440" w:rsidP="00C330C0"/>
    <w:p w14:paraId="47681C4D" w14:textId="39A45E74" w:rsidR="00D94440" w:rsidRDefault="00D94440" w:rsidP="00C330C0"/>
    <w:p w14:paraId="71C86D5E" w14:textId="16D99C11" w:rsidR="00D94440" w:rsidRDefault="00D94440" w:rsidP="00C330C0"/>
    <w:p w14:paraId="3544FD7C" w14:textId="5837DE1E" w:rsidR="00D94440" w:rsidRDefault="00D94440" w:rsidP="00C330C0"/>
    <w:p w14:paraId="72511CDB" w14:textId="5862CECD" w:rsidR="00D94440" w:rsidRDefault="00D94440" w:rsidP="00C330C0"/>
    <w:p w14:paraId="61A48455" w14:textId="3B4EF113" w:rsidR="00D94440" w:rsidRDefault="00D94440" w:rsidP="00C330C0"/>
    <w:p w14:paraId="5E832BE2" w14:textId="4024E494" w:rsidR="00D94440" w:rsidRDefault="00D94440" w:rsidP="00C330C0"/>
    <w:p w14:paraId="6261DA08" w14:textId="3526095F" w:rsidR="00D94440" w:rsidRDefault="00D94440" w:rsidP="00C330C0"/>
    <w:p w14:paraId="0F424A7F" w14:textId="16F2D6BD" w:rsidR="00D94440" w:rsidRDefault="00D94440" w:rsidP="00C330C0"/>
    <w:p w14:paraId="7D24CF26" w14:textId="32CE55F6" w:rsidR="00D94440" w:rsidRDefault="00D94440" w:rsidP="00C330C0"/>
    <w:p w14:paraId="30C49968" w14:textId="05619FE2" w:rsidR="00D94440" w:rsidRDefault="00D94440" w:rsidP="00C330C0"/>
    <w:p w14:paraId="0D3F6657" w14:textId="461FC28C" w:rsidR="00D94440" w:rsidRDefault="00D94440" w:rsidP="00C330C0"/>
    <w:p w14:paraId="4B7749FA" w14:textId="384F0FC6" w:rsidR="00D94440" w:rsidRDefault="00D94440" w:rsidP="00C330C0"/>
    <w:p w14:paraId="4C1CF985" w14:textId="77777777" w:rsidR="00D94440" w:rsidRDefault="00D94440" w:rsidP="00C330C0"/>
    <w:p w14:paraId="232581E3" w14:textId="0A8E70CC" w:rsidR="00D94440" w:rsidRDefault="00BA640C" w:rsidP="00BA640C">
      <w:pPr>
        <w:rPr>
          <w:rFonts w:cs="Arial"/>
        </w:rPr>
        <w:sectPr w:rsidR="00D94440" w:rsidSect="00D94440">
          <w:type w:val="continuous"/>
          <w:pgSz w:w="11900" w:h="16840"/>
          <w:pgMar w:top="1838" w:right="1418" w:bottom="1134" w:left="1418" w:header="709" w:footer="709" w:gutter="0"/>
          <w:cols w:num="2" w:space="708"/>
          <w:titlePg/>
          <w:docGrid w:linePitch="360"/>
        </w:sectPr>
      </w:pPr>
      <w:r w:rsidRPr="00CE41D6">
        <w:rPr>
          <w:rFonts w:cs="Arial"/>
        </w:rPr>
        <w:t>.</w:t>
      </w:r>
    </w:p>
    <w:p w14:paraId="4E8C0EAB" w14:textId="57CE5F29" w:rsidR="00D94440" w:rsidRDefault="00D94440" w:rsidP="00BA640C">
      <w:pPr>
        <w:rPr>
          <w:rFonts w:cs="Arial"/>
        </w:rPr>
        <w:sectPr w:rsidR="00D94440" w:rsidSect="00D94440">
          <w:type w:val="continuous"/>
          <w:pgSz w:w="11900" w:h="16840"/>
          <w:pgMar w:top="1838" w:right="1418" w:bottom="1134" w:left="1418" w:header="709" w:footer="709" w:gutter="0"/>
          <w:cols w:space="708"/>
          <w:titlePg/>
          <w:docGrid w:linePitch="360"/>
        </w:sectPr>
      </w:pPr>
    </w:p>
    <w:p w14:paraId="71B4E614" w14:textId="77777777" w:rsidR="00BA640C" w:rsidRPr="00DB2909" w:rsidRDefault="00BA640C" w:rsidP="00BA640C">
      <w:pPr>
        <w:contextualSpacing/>
      </w:pP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016"/>
        <w:gridCol w:w="3019"/>
        <w:gridCol w:w="3019"/>
      </w:tblGrid>
      <w:tr w:rsidR="00BA640C" w:rsidRPr="00CE41D6" w14:paraId="5765F1AE" w14:textId="77777777" w:rsidTr="00D94440">
        <w:trPr>
          <w:cnfStyle w:val="000000100000" w:firstRow="0" w:lastRow="0" w:firstColumn="0" w:lastColumn="0" w:oddVBand="0" w:evenVBand="0" w:oddHBand="1" w:evenHBand="0" w:firstRowFirstColumn="0" w:firstRowLastColumn="0" w:lastRowFirstColumn="0" w:lastRowLastColumn="0"/>
        </w:trPr>
        <w:tc>
          <w:tcPr>
            <w:tcW w:w="1665" w:type="pct"/>
          </w:tcPr>
          <w:p w14:paraId="43EB7916" w14:textId="77777777" w:rsidR="00BA640C" w:rsidRPr="00CE41D6" w:rsidRDefault="00BA640C" w:rsidP="004A38B6">
            <w:pPr>
              <w:rPr>
                <w:u w:val="single"/>
              </w:rPr>
            </w:pPr>
            <w:r w:rsidRPr="00CE41D6">
              <w:rPr>
                <w:b/>
                <w:bCs/>
                <w:u w:val="single"/>
              </w:rPr>
              <w:t>Art des Sachbezugs</w:t>
            </w:r>
          </w:p>
        </w:tc>
        <w:tc>
          <w:tcPr>
            <w:tcW w:w="1667" w:type="pct"/>
          </w:tcPr>
          <w:p w14:paraId="3B912985" w14:textId="77777777" w:rsidR="00BA640C" w:rsidRPr="00CE41D6" w:rsidRDefault="00BA640C" w:rsidP="002943E0">
            <w:pPr>
              <w:rPr>
                <w:u w:val="single"/>
              </w:rPr>
            </w:pPr>
            <w:r w:rsidRPr="00CE41D6">
              <w:rPr>
                <w:b/>
                <w:bCs/>
                <w:u w:val="single"/>
              </w:rPr>
              <w:t>Sachbezugswert 20</w:t>
            </w:r>
            <w:r w:rsidR="002943E0">
              <w:rPr>
                <w:b/>
                <w:bCs/>
                <w:u w:val="single"/>
              </w:rPr>
              <w:t>19</w:t>
            </w:r>
          </w:p>
        </w:tc>
        <w:tc>
          <w:tcPr>
            <w:tcW w:w="1667" w:type="pct"/>
          </w:tcPr>
          <w:p w14:paraId="4AF295B4" w14:textId="77777777" w:rsidR="00BA640C" w:rsidRPr="00CE41D6" w:rsidRDefault="002943E0" w:rsidP="002943E0">
            <w:pPr>
              <w:rPr>
                <w:u w:val="single"/>
              </w:rPr>
            </w:pPr>
            <w:r>
              <w:rPr>
                <w:b/>
                <w:bCs/>
                <w:u w:val="single"/>
              </w:rPr>
              <w:t>Sachbezugswert 2020</w:t>
            </w:r>
          </w:p>
        </w:tc>
      </w:tr>
      <w:tr w:rsidR="002943E0" w:rsidRPr="00CE41D6" w14:paraId="4B5AB544" w14:textId="77777777" w:rsidTr="00D94440">
        <w:trPr>
          <w:cnfStyle w:val="000000010000" w:firstRow="0" w:lastRow="0" w:firstColumn="0" w:lastColumn="0" w:oddVBand="0" w:evenVBand="0" w:oddHBand="0" w:evenHBand="1" w:firstRowFirstColumn="0" w:firstRowLastColumn="0" w:lastRowFirstColumn="0" w:lastRowLastColumn="0"/>
        </w:trPr>
        <w:tc>
          <w:tcPr>
            <w:tcW w:w="1665" w:type="pct"/>
          </w:tcPr>
          <w:p w14:paraId="7CF59180" w14:textId="77777777" w:rsidR="002943E0" w:rsidRPr="00CE41D6" w:rsidRDefault="002943E0" w:rsidP="002943E0">
            <w:r w:rsidRPr="00CE41D6">
              <w:t>Verpflegung insgesamt</w:t>
            </w:r>
          </w:p>
        </w:tc>
        <w:tc>
          <w:tcPr>
            <w:tcW w:w="1667" w:type="pct"/>
          </w:tcPr>
          <w:p w14:paraId="73DBCDEA" w14:textId="77777777" w:rsidR="002943E0" w:rsidRPr="00CE41D6" w:rsidRDefault="002943E0" w:rsidP="002943E0">
            <w:pPr>
              <w:jc w:val="right"/>
            </w:pPr>
            <w:r w:rsidRPr="00CE41D6">
              <w:t>251 €</w:t>
            </w:r>
          </w:p>
        </w:tc>
        <w:tc>
          <w:tcPr>
            <w:tcW w:w="1667" w:type="pct"/>
          </w:tcPr>
          <w:p w14:paraId="527771EF" w14:textId="77777777" w:rsidR="002943E0" w:rsidRPr="00CE41D6" w:rsidRDefault="002943E0" w:rsidP="002943E0">
            <w:pPr>
              <w:jc w:val="right"/>
            </w:pPr>
            <w:r>
              <w:t>258 €</w:t>
            </w:r>
          </w:p>
        </w:tc>
      </w:tr>
      <w:tr w:rsidR="002943E0" w:rsidRPr="00CE41D6" w14:paraId="0B719A8E" w14:textId="77777777" w:rsidTr="00D94440">
        <w:trPr>
          <w:cnfStyle w:val="000000100000" w:firstRow="0" w:lastRow="0" w:firstColumn="0" w:lastColumn="0" w:oddVBand="0" w:evenVBand="0" w:oddHBand="1" w:evenHBand="0" w:firstRowFirstColumn="0" w:firstRowLastColumn="0" w:lastRowFirstColumn="0" w:lastRowLastColumn="0"/>
        </w:trPr>
        <w:tc>
          <w:tcPr>
            <w:tcW w:w="1665" w:type="pct"/>
          </w:tcPr>
          <w:p w14:paraId="71E8CA91" w14:textId="77777777" w:rsidR="002943E0" w:rsidRPr="00CE41D6" w:rsidRDefault="002943E0" w:rsidP="002943E0">
            <w:pPr>
              <w:ind w:left="29" w:firstLine="284"/>
            </w:pPr>
            <w:r w:rsidRPr="00CE41D6">
              <w:t xml:space="preserve">Frühstück </w:t>
            </w:r>
          </w:p>
        </w:tc>
        <w:tc>
          <w:tcPr>
            <w:tcW w:w="1667" w:type="pct"/>
          </w:tcPr>
          <w:p w14:paraId="0AB006DA" w14:textId="77777777" w:rsidR="002943E0" w:rsidRPr="00CE41D6" w:rsidRDefault="002943E0" w:rsidP="002943E0">
            <w:pPr>
              <w:jc w:val="right"/>
            </w:pPr>
            <w:r w:rsidRPr="00CE41D6">
              <w:t xml:space="preserve">  53 €</w:t>
            </w:r>
          </w:p>
        </w:tc>
        <w:tc>
          <w:tcPr>
            <w:tcW w:w="1667" w:type="pct"/>
          </w:tcPr>
          <w:p w14:paraId="1E039B82" w14:textId="77777777" w:rsidR="002943E0" w:rsidRPr="00CE41D6" w:rsidRDefault="002943E0" w:rsidP="002943E0">
            <w:pPr>
              <w:jc w:val="right"/>
            </w:pPr>
            <w:r>
              <w:t>54 €</w:t>
            </w:r>
          </w:p>
        </w:tc>
      </w:tr>
      <w:tr w:rsidR="002943E0" w:rsidRPr="00CE41D6" w14:paraId="09F33FB8" w14:textId="77777777" w:rsidTr="00D94440">
        <w:trPr>
          <w:cnfStyle w:val="000000010000" w:firstRow="0" w:lastRow="0" w:firstColumn="0" w:lastColumn="0" w:oddVBand="0" w:evenVBand="0" w:oddHBand="0" w:evenHBand="1" w:firstRowFirstColumn="0" w:firstRowLastColumn="0" w:lastRowFirstColumn="0" w:lastRowLastColumn="0"/>
        </w:trPr>
        <w:tc>
          <w:tcPr>
            <w:tcW w:w="1665" w:type="pct"/>
          </w:tcPr>
          <w:p w14:paraId="2042E246" w14:textId="77777777" w:rsidR="002943E0" w:rsidRPr="00CE41D6" w:rsidRDefault="002943E0" w:rsidP="002943E0">
            <w:pPr>
              <w:ind w:left="29" w:firstLine="284"/>
            </w:pPr>
            <w:r w:rsidRPr="00CE41D6">
              <w:t>Mittagessen</w:t>
            </w:r>
          </w:p>
        </w:tc>
        <w:tc>
          <w:tcPr>
            <w:tcW w:w="1667" w:type="pct"/>
          </w:tcPr>
          <w:p w14:paraId="40EF631C" w14:textId="77777777" w:rsidR="002943E0" w:rsidRPr="00CE41D6" w:rsidRDefault="002943E0" w:rsidP="002943E0">
            <w:pPr>
              <w:jc w:val="right"/>
            </w:pPr>
            <w:r w:rsidRPr="00CE41D6">
              <w:t xml:space="preserve">  99 €</w:t>
            </w:r>
          </w:p>
        </w:tc>
        <w:tc>
          <w:tcPr>
            <w:tcW w:w="1667" w:type="pct"/>
          </w:tcPr>
          <w:p w14:paraId="3AB9EE2E" w14:textId="77777777" w:rsidR="002943E0" w:rsidRPr="00CE41D6" w:rsidRDefault="002943E0" w:rsidP="002943E0">
            <w:pPr>
              <w:jc w:val="right"/>
            </w:pPr>
            <w:r>
              <w:t>102 €</w:t>
            </w:r>
          </w:p>
        </w:tc>
      </w:tr>
      <w:tr w:rsidR="002943E0" w:rsidRPr="00CE41D6" w14:paraId="05C44ACC" w14:textId="77777777" w:rsidTr="00D94440">
        <w:trPr>
          <w:cnfStyle w:val="000000100000" w:firstRow="0" w:lastRow="0" w:firstColumn="0" w:lastColumn="0" w:oddVBand="0" w:evenVBand="0" w:oddHBand="1" w:evenHBand="0" w:firstRowFirstColumn="0" w:firstRowLastColumn="0" w:lastRowFirstColumn="0" w:lastRowLastColumn="0"/>
        </w:trPr>
        <w:tc>
          <w:tcPr>
            <w:tcW w:w="1665" w:type="pct"/>
          </w:tcPr>
          <w:p w14:paraId="53E023A0" w14:textId="77777777" w:rsidR="002943E0" w:rsidRPr="00CE41D6" w:rsidRDefault="002943E0" w:rsidP="002943E0">
            <w:pPr>
              <w:ind w:left="29" w:firstLine="284"/>
            </w:pPr>
            <w:r w:rsidRPr="00CE41D6">
              <w:t>Abendessen</w:t>
            </w:r>
          </w:p>
        </w:tc>
        <w:tc>
          <w:tcPr>
            <w:tcW w:w="1667" w:type="pct"/>
          </w:tcPr>
          <w:p w14:paraId="58C38A4A" w14:textId="77777777" w:rsidR="002943E0" w:rsidRPr="00CE41D6" w:rsidRDefault="002943E0" w:rsidP="002943E0">
            <w:pPr>
              <w:jc w:val="right"/>
            </w:pPr>
            <w:r w:rsidRPr="00CE41D6">
              <w:t xml:space="preserve">  99 €</w:t>
            </w:r>
          </w:p>
        </w:tc>
        <w:tc>
          <w:tcPr>
            <w:tcW w:w="1667" w:type="pct"/>
          </w:tcPr>
          <w:p w14:paraId="609D1891" w14:textId="77777777" w:rsidR="002943E0" w:rsidRPr="00CE41D6" w:rsidRDefault="002943E0" w:rsidP="002943E0">
            <w:pPr>
              <w:jc w:val="right"/>
            </w:pPr>
            <w:r>
              <w:t>102 €</w:t>
            </w:r>
          </w:p>
        </w:tc>
      </w:tr>
      <w:tr w:rsidR="002943E0" w:rsidRPr="00CE41D6" w14:paraId="6A6C88F9" w14:textId="77777777" w:rsidTr="00D94440">
        <w:trPr>
          <w:cnfStyle w:val="000000010000" w:firstRow="0" w:lastRow="0" w:firstColumn="0" w:lastColumn="0" w:oddVBand="0" w:evenVBand="0" w:oddHBand="0" w:evenHBand="1" w:firstRowFirstColumn="0" w:firstRowLastColumn="0" w:lastRowFirstColumn="0" w:lastRowLastColumn="0"/>
        </w:trPr>
        <w:tc>
          <w:tcPr>
            <w:tcW w:w="1665" w:type="pct"/>
          </w:tcPr>
          <w:p w14:paraId="56761899" w14:textId="77777777" w:rsidR="002943E0" w:rsidRPr="00CE41D6" w:rsidRDefault="002943E0" w:rsidP="002943E0">
            <w:r w:rsidRPr="00CE41D6">
              <w:t>Unterkunft</w:t>
            </w:r>
          </w:p>
        </w:tc>
        <w:tc>
          <w:tcPr>
            <w:tcW w:w="1667" w:type="pct"/>
          </w:tcPr>
          <w:p w14:paraId="0B9A9108" w14:textId="77777777" w:rsidR="002943E0" w:rsidRPr="00CE41D6" w:rsidRDefault="002943E0" w:rsidP="002943E0">
            <w:pPr>
              <w:jc w:val="right"/>
            </w:pPr>
            <w:r w:rsidRPr="00CE41D6">
              <w:t>231 €</w:t>
            </w:r>
          </w:p>
        </w:tc>
        <w:tc>
          <w:tcPr>
            <w:tcW w:w="1667" w:type="pct"/>
          </w:tcPr>
          <w:p w14:paraId="43BAA584" w14:textId="77777777" w:rsidR="002943E0" w:rsidRPr="00CE41D6" w:rsidRDefault="002943E0" w:rsidP="002943E0">
            <w:pPr>
              <w:jc w:val="right"/>
            </w:pPr>
            <w:r>
              <w:t>235 €</w:t>
            </w:r>
          </w:p>
        </w:tc>
      </w:tr>
      <w:tr w:rsidR="002943E0" w:rsidRPr="00CE41D6" w14:paraId="14999E18" w14:textId="77777777" w:rsidTr="00D94440">
        <w:trPr>
          <w:cnfStyle w:val="000000100000" w:firstRow="0" w:lastRow="0" w:firstColumn="0" w:lastColumn="0" w:oddVBand="0" w:evenVBand="0" w:oddHBand="1" w:evenHBand="0" w:firstRowFirstColumn="0" w:firstRowLastColumn="0" w:lastRowFirstColumn="0" w:lastRowLastColumn="0"/>
        </w:trPr>
        <w:tc>
          <w:tcPr>
            <w:tcW w:w="1665" w:type="pct"/>
          </w:tcPr>
          <w:p w14:paraId="60CFB85C" w14:textId="77777777" w:rsidR="002943E0" w:rsidRPr="00CE41D6" w:rsidRDefault="002943E0" w:rsidP="002943E0">
            <w:r w:rsidRPr="00CE41D6">
              <w:t>freie Wohnung pro m</w:t>
            </w:r>
            <w:r w:rsidRPr="00CE41D6">
              <w:rPr>
                <w:vertAlign w:val="superscript"/>
              </w:rPr>
              <w:t>2</w:t>
            </w:r>
            <w:r w:rsidRPr="00CE41D6">
              <w:t xml:space="preserve"> normale Ausstattung</w:t>
            </w:r>
          </w:p>
        </w:tc>
        <w:tc>
          <w:tcPr>
            <w:tcW w:w="1667" w:type="pct"/>
          </w:tcPr>
          <w:p w14:paraId="1BE07D96" w14:textId="77777777" w:rsidR="002943E0" w:rsidRPr="00CE41D6" w:rsidRDefault="002943E0" w:rsidP="002943E0">
            <w:pPr>
              <w:jc w:val="right"/>
            </w:pPr>
            <w:r w:rsidRPr="00CE41D6">
              <w:t>4,05 €</w:t>
            </w:r>
          </w:p>
        </w:tc>
        <w:tc>
          <w:tcPr>
            <w:tcW w:w="1667" w:type="pct"/>
          </w:tcPr>
          <w:p w14:paraId="0E3EA702" w14:textId="77777777" w:rsidR="002943E0" w:rsidRPr="00CE41D6" w:rsidRDefault="002943E0" w:rsidP="002943E0">
            <w:pPr>
              <w:jc w:val="right"/>
            </w:pPr>
            <w:r>
              <w:t>4,12 €</w:t>
            </w:r>
          </w:p>
        </w:tc>
      </w:tr>
      <w:tr w:rsidR="00F01CE6" w:rsidRPr="00CE41D6" w14:paraId="2C20C227" w14:textId="77777777" w:rsidTr="00D94440">
        <w:trPr>
          <w:cnfStyle w:val="000000010000" w:firstRow="0" w:lastRow="0" w:firstColumn="0" w:lastColumn="0" w:oddVBand="0" w:evenVBand="0" w:oddHBand="0" w:evenHBand="1" w:firstRowFirstColumn="0" w:firstRowLastColumn="0" w:lastRowFirstColumn="0" w:lastRowLastColumn="0"/>
        </w:trPr>
        <w:tc>
          <w:tcPr>
            <w:tcW w:w="1665" w:type="pct"/>
          </w:tcPr>
          <w:p w14:paraId="2C128729" w14:textId="023FCE84" w:rsidR="00F01CE6" w:rsidRPr="00CE41D6" w:rsidRDefault="00F01CE6" w:rsidP="002943E0">
            <w:r w:rsidRPr="00CE41D6">
              <w:t>freie Wohnung pro m</w:t>
            </w:r>
            <w:r w:rsidRPr="00CE41D6">
              <w:rPr>
                <w:vertAlign w:val="superscript"/>
              </w:rPr>
              <w:t>2</w:t>
            </w:r>
            <w:r w:rsidRPr="00CE41D6">
              <w:t xml:space="preserve"> einfache Ausstattung</w:t>
            </w:r>
          </w:p>
        </w:tc>
        <w:tc>
          <w:tcPr>
            <w:tcW w:w="1667" w:type="pct"/>
          </w:tcPr>
          <w:p w14:paraId="5DD80529" w14:textId="587866F9" w:rsidR="00F01CE6" w:rsidRPr="00CE41D6" w:rsidRDefault="00F01CE6" w:rsidP="002943E0">
            <w:pPr>
              <w:jc w:val="right"/>
            </w:pPr>
            <w:r w:rsidRPr="00CE41D6">
              <w:t>3,31 €</w:t>
            </w:r>
          </w:p>
        </w:tc>
        <w:tc>
          <w:tcPr>
            <w:tcW w:w="1667" w:type="pct"/>
          </w:tcPr>
          <w:p w14:paraId="434AEADC" w14:textId="23B27DFA" w:rsidR="00F01CE6" w:rsidRDefault="00F01CE6" w:rsidP="002943E0">
            <w:pPr>
              <w:jc w:val="right"/>
            </w:pPr>
            <w:r>
              <w:t>3,37 €</w:t>
            </w:r>
          </w:p>
        </w:tc>
      </w:tr>
    </w:tbl>
    <w:p w14:paraId="72E00943" w14:textId="77777777" w:rsidR="00D94440" w:rsidRDefault="00D94440" w:rsidP="002943E0">
      <w:pPr>
        <w:sectPr w:rsidR="00D94440" w:rsidSect="00D94440">
          <w:type w:val="continuous"/>
          <w:pgSz w:w="11900" w:h="16840"/>
          <w:pgMar w:top="1838" w:right="1418" w:bottom="1134" w:left="1418" w:header="709" w:footer="709" w:gutter="0"/>
          <w:cols w:space="708"/>
          <w:titlePg/>
          <w:docGrid w:linePitch="360"/>
        </w:sectPr>
      </w:pPr>
    </w:p>
    <w:p w14:paraId="671DE217" w14:textId="77777777" w:rsidR="00F74EA0" w:rsidRDefault="00F74EA0" w:rsidP="00BA640C">
      <w:pPr>
        <w:rPr>
          <w:rFonts w:cs="Arial"/>
        </w:rPr>
      </w:pPr>
    </w:p>
    <w:p w14:paraId="002257A2" w14:textId="77777777" w:rsidR="00F74EA0" w:rsidRDefault="00BA640C" w:rsidP="00BA640C">
      <w:pPr>
        <w:rPr>
          <w:rFonts w:cs="Arial"/>
        </w:rPr>
      </w:pPr>
      <w:r w:rsidRPr="00CE41D6">
        <w:rPr>
          <w:rFonts w:cs="Arial"/>
        </w:rPr>
        <w:t xml:space="preserve">Die täglichen Sachbezugswerte berechnen sich mit 1/30 aus den monatlichen Sachbezugswerten. Dies </w:t>
      </w:r>
    </w:p>
    <w:p w14:paraId="51DE5FCF" w14:textId="77777777" w:rsidR="00F74EA0" w:rsidRDefault="00F74EA0" w:rsidP="00BA640C">
      <w:pPr>
        <w:rPr>
          <w:rFonts w:cs="Arial"/>
        </w:rPr>
      </w:pPr>
    </w:p>
    <w:p w14:paraId="61A6F621" w14:textId="40888EE3" w:rsidR="00F01CE6" w:rsidRDefault="00BA640C" w:rsidP="00BA640C">
      <w:pPr>
        <w:rPr>
          <w:rFonts w:cs="Arial"/>
        </w:rPr>
        <w:sectPr w:rsidR="00F01CE6" w:rsidSect="00D94440">
          <w:type w:val="continuous"/>
          <w:pgSz w:w="11900" w:h="16840"/>
          <w:pgMar w:top="1838" w:right="1418" w:bottom="1134" w:left="1418" w:header="709" w:footer="709" w:gutter="0"/>
          <w:cols w:num="2" w:space="708"/>
          <w:titlePg/>
          <w:docGrid w:linePitch="360"/>
        </w:sectPr>
      </w:pPr>
      <w:r w:rsidRPr="00CE41D6">
        <w:rPr>
          <w:rFonts w:cs="Arial"/>
        </w:rPr>
        <w:t>führt bei den Sachbezügen für Verpflegung zu folgender Änderung:</w:t>
      </w:r>
    </w:p>
    <w:tbl>
      <w:tblPr>
        <w:tblStyle w:val="TabelleAktuel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20"/>
        <w:gridCol w:w="2586"/>
        <w:gridCol w:w="2548"/>
      </w:tblGrid>
      <w:tr w:rsidR="00BA640C" w:rsidRPr="00CE41D6" w14:paraId="0D63D759" w14:textId="77777777" w:rsidTr="004A38B6">
        <w:trPr>
          <w:cnfStyle w:val="000000100000" w:firstRow="0" w:lastRow="0" w:firstColumn="0" w:lastColumn="0" w:oddVBand="0" w:evenVBand="0" w:oddHBand="1" w:evenHBand="0" w:firstRowFirstColumn="0" w:firstRowLastColumn="0" w:lastRowFirstColumn="0" w:lastRowLastColumn="0"/>
        </w:trPr>
        <w:tc>
          <w:tcPr>
            <w:tcW w:w="2165" w:type="pct"/>
          </w:tcPr>
          <w:p w14:paraId="34B63982" w14:textId="77777777" w:rsidR="00BA640C" w:rsidRPr="00CE41D6" w:rsidRDefault="00BA640C" w:rsidP="004A38B6">
            <w:pPr>
              <w:rPr>
                <w:u w:val="single"/>
              </w:rPr>
            </w:pPr>
            <w:r w:rsidRPr="00CE41D6">
              <w:rPr>
                <w:b/>
                <w:bCs/>
                <w:u w:val="single"/>
              </w:rPr>
              <w:lastRenderedPageBreak/>
              <w:t>Art des Sachbezugs</w:t>
            </w:r>
          </w:p>
        </w:tc>
        <w:tc>
          <w:tcPr>
            <w:tcW w:w="1428" w:type="pct"/>
          </w:tcPr>
          <w:p w14:paraId="4DC905DE" w14:textId="77777777" w:rsidR="00BA640C" w:rsidRPr="00CE41D6" w:rsidRDefault="00BA640C" w:rsidP="004A38B6">
            <w:pPr>
              <w:rPr>
                <w:u w:val="single"/>
              </w:rPr>
            </w:pPr>
            <w:r w:rsidRPr="00CE41D6">
              <w:rPr>
                <w:b/>
                <w:bCs/>
                <w:u w:val="single"/>
              </w:rPr>
              <w:t>Sachbezugswert 201</w:t>
            </w:r>
            <w:r w:rsidR="002943E0">
              <w:rPr>
                <w:b/>
                <w:bCs/>
                <w:u w:val="single"/>
              </w:rPr>
              <w:t>9</w:t>
            </w:r>
          </w:p>
        </w:tc>
        <w:tc>
          <w:tcPr>
            <w:tcW w:w="1407" w:type="pct"/>
          </w:tcPr>
          <w:p w14:paraId="33F30717" w14:textId="77777777" w:rsidR="00BA640C" w:rsidRPr="00CE41D6" w:rsidRDefault="002943E0" w:rsidP="002943E0">
            <w:pPr>
              <w:rPr>
                <w:u w:val="single"/>
              </w:rPr>
            </w:pPr>
            <w:r>
              <w:rPr>
                <w:b/>
                <w:bCs/>
                <w:u w:val="single"/>
              </w:rPr>
              <w:t>Sachbezugswert 2020</w:t>
            </w:r>
          </w:p>
        </w:tc>
      </w:tr>
      <w:tr w:rsidR="002943E0" w:rsidRPr="00CE41D6" w14:paraId="76EDCB67" w14:textId="77777777" w:rsidTr="004A38B6">
        <w:trPr>
          <w:cnfStyle w:val="000000010000" w:firstRow="0" w:lastRow="0" w:firstColumn="0" w:lastColumn="0" w:oddVBand="0" w:evenVBand="0" w:oddHBand="0" w:evenHBand="1" w:firstRowFirstColumn="0" w:firstRowLastColumn="0" w:lastRowFirstColumn="0" w:lastRowLastColumn="0"/>
        </w:trPr>
        <w:tc>
          <w:tcPr>
            <w:tcW w:w="2165" w:type="pct"/>
          </w:tcPr>
          <w:p w14:paraId="4A492A94" w14:textId="77777777" w:rsidR="002943E0" w:rsidRPr="00CE41D6" w:rsidRDefault="002943E0" w:rsidP="002943E0">
            <w:r w:rsidRPr="00CE41D6">
              <w:t>Verpflegung insgesamt</w:t>
            </w:r>
          </w:p>
        </w:tc>
        <w:tc>
          <w:tcPr>
            <w:tcW w:w="1428" w:type="pct"/>
          </w:tcPr>
          <w:p w14:paraId="73F340E9" w14:textId="77777777" w:rsidR="002943E0" w:rsidRPr="00CE41D6" w:rsidRDefault="002943E0" w:rsidP="002943E0">
            <w:pPr>
              <w:jc w:val="right"/>
            </w:pPr>
            <w:r w:rsidRPr="00CE41D6">
              <w:t>8,37 €</w:t>
            </w:r>
          </w:p>
        </w:tc>
        <w:tc>
          <w:tcPr>
            <w:tcW w:w="1407" w:type="pct"/>
          </w:tcPr>
          <w:p w14:paraId="560E1FFB" w14:textId="77777777" w:rsidR="002943E0" w:rsidRPr="00CE41D6" w:rsidRDefault="002943E0" w:rsidP="002943E0">
            <w:pPr>
              <w:jc w:val="right"/>
            </w:pPr>
            <w:r>
              <w:t>8,60 €</w:t>
            </w:r>
          </w:p>
        </w:tc>
      </w:tr>
      <w:tr w:rsidR="002943E0" w:rsidRPr="00CE41D6" w14:paraId="105198FD" w14:textId="77777777" w:rsidTr="004A38B6">
        <w:trPr>
          <w:cnfStyle w:val="000000100000" w:firstRow="0" w:lastRow="0" w:firstColumn="0" w:lastColumn="0" w:oddVBand="0" w:evenVBand="0" w:oddHBand="1" w:evenHBand="0" w:firstRowFirstColumn="0" w:firstRowLastColumn="0" w:lastRowFirstColumn="0" w:lastRowLastColumn="0"/>
        </w:trPr>
        <w:tc>
          <w:tcPr>
            <w:tcW w:w="2165" w:type="pct"/>
          </w:tcPr>
          <w:p w14:paraId="1BA12BDA" w14:textId="77777777" w:rsidR="002943E0" w:rsidRPr="00CE41D6" w:rsidRDefault="002943E0" w:rsidP="002943E0">
            <w:pPr>
              <w:ind w:left="313"/>
            </w:pPr>
            <w:r w:rsidRPr="00CE41D6">
              <w:t xml:space="preserve">Frühstück </w:t>
            </w:r>
          </w:p>
        </w:tc>
        <w:tc>
          <w:tcPr>
            <w:tcW w:w="1428" w:type="pct"/>
          </w:tcPr>
          <w:p w14:paraId="111C005F" w14:textId="77777777" w:rsidR="002943E0" w:rsidRPr="00CE41D6" w:rsidRDefault="002943E0" w:rsidP="002943E0">
            <w:pPr>
              <w:jc w:val="right"/>
            </w:pPr>
            <w:r w:rsidRPr="00CE41D6">
              <w:t>1,77 €</w:t>
            </w:r>
          </w:p>
        </w:tc>
        <w:tc>
          <w:tcPr>
            <w:tcW w:w="1407" w:type="pct"/>
          </w:tcPr>
          <w:p w14:paraId="7A46FC7F" w14:textId="77777777" w:rsidR="002943E0" w:rsidRPr="00CE41D6" w:rsidRDefault="002943E0" w:rsidP="002943E0">
            <w:pPr>
              <w:jc w:val="right"/>
            </w:pPr>
            <w:r>
              <w:t>1,80 €</w:t>
            </w:r>
          </w:p>
        </w:tc>
      </w:tr>
      <w:tr w:rsidR="002943E0" w:rsidRPr="00CE41D6" w14:paraId="423DE3E1" w14:textId="77777777" w:rsidTr="004A38B6">
        <w:trPr>
          <w:cnfStyle w:val="000000010000" w:firstRow="0" w:lastRow="0" w:firstColumn="0" w:lastColumn="0" w:oddVBand="0" w:evenVBand="0" w:oddHBand="0" w:evenHBand="1" w:firstRowFirstColumn="0" w:firstRowLastColumn="0" w:lastRowFirstColumn="0" w:lastRowLastColumn="0"/>
        </w:trPr>
        <w:tc>
          <w:tcPr>
            <w:tcW w:w="2165" w:type="pct"/>
          </w:tcPr>
          <w:p w14:paraId="2566D756" w14:textId="77777777" w:rsidR="002943E0" w:rsidRPr="00CE41D6" w:rsidRDefault="002943E0" w:rsidP="002943E0">
            <w:pPr>
              <w:ind w:left="313"/>
            </w:pPr>
            <w:r w:rsidRPr="00CE41D6">
              <w:t>Mittagessen</w:t>
            </w:r>
          </w:p>
        </w:tc>
        <w:tc>
          <w:tcPr>
            <w:tcW w:w="1428" w:type="pct"/>
          </w:tcPr>
          <w:p w14:paraId="755FC545" w14:textId="77777777" w:rsidR="002943E0" w:rsidRPr="00CE41D6" w:rsidRDefault="002943E0" w:rsidP="002943E0">
            <w:pPr>
              <w:jc w:val="right"/>
            </w:pPr>
            <w:r w:rsidRPr="00CE41D6">
              <w:t>3,30 €</w:t>
            </w:r>
          </w:p>
        </w:tc>
        <w:tc>
          <w:tcPr>
            <w:tcW w:w="1407" w:type="pct"/>
          </w:tcPr>
          <w:p w14:paraId="761FEFC2" w14:textId="77777777" w:rsidR="002943E0" w:rsidRPr="00CE41D6" w:rsidRDefault="002943E0" w:rsidP="002943E0">
            <w:pPr>
              <w:jc w:val="right"/>
            </w:pPr>
            <w:r>
              <w:t>3,40 €</w:t>
            </w:r>
          </w:p>
        </w:tc>
      </w:tr>
      <w:tr w:rsidR="002943E0" w:rsidRPr="00CE41D6" w14:paraId="5D3DF32C" w14:textId="77777777" w:rsidTr="004A38B6">
        <w:trPr>
          <w:cnfStyle w:val="000000100000" w:firstRow="0" w:lastRow="0" w:firstColumn="0" w:lastColumn="0" w:oddVBand="0" w:evenVBand="0" w:oddHBand="1" w:evenHBand="0" w:firstRowFirstColumn="0" w:firstRowLastColumn="0" w:lastRowFirstColumn="0" w:lastRowLastColumn="0"/>
        </w:trPr>
        <w:tc>
          <w:tcPr>
            <w:tcW w:w="2165" w:type="pct"/>
          </w:tcPr>
          <w:p w14:paraId="5B5C190F" w14:textId="77777777" w:rsidR="002943E0" w:rsidRPr="00CE41D6" w:rsidRDefault="002943E0" w:rsidP="002943E0">
            <w:pPr>
              <w:ind w:left="313"/>
            </w:pPr>
            <w:r w:rsidRPr="00CE41D6">
              <w:t>Abendessen</w:t>
            </w:r>
          </w:p>
        </w:tc>
        <w:tc>
          <w:tcPr>
            <w:tcW w:w="1428" w:type="pct"/>
          </w:tcPr>
          <w:p w14:paraId="773A4AFC" w14:textId="77777777" w:rsidR="002943E0" w:rsidRPr="00CE41D6" w:rsidRDefault="002943E0" w:rsidP="002943E0">
            <w:pPr>
              <w:jc w:val="right"/>
            </w:pPr>
            <w:r w:rsidRPr="00CE41D6">
              <w:t>3,30 €</w:t>
            </w:r>
          </w:p>
        </w:tc>
        <w:tc>
          <w:tcPr>
            <w:tcW w:w="1407" w:type="pct"/>
          </w:tcPr>
          <w:p w14:paraId="125B8D07" w14:textId="77777777" w:rsidR="002943E0" w:rsidRPr="00CE41D6" w:rsidRDefault="002943E0" w:rsidP="002943E0">
            <w:pPr>
              <w:jc w:val="right"/>
            </w:pPr>
            <w:r>
              <w:t>3,40 €</w:t>
            </w:r>
          </w:p>
        </w:tc>
      </w:tr>
    </w:tbl>
    <w:p w14:paraId="1AFD91E8" w14:textId="77777777" w:rsidR="001B60AB" w:rsidRDefault="001B60AB" w:rsidP="00BA640C">
      <w:pPr>
        <w:rPr>
          <w:u w:val="single"/>
        </w:rPr>
        <w:sectPr w:rsidR="001B60AB" w:rsidSect="00F01CE6">
          <w:type w:val="continuous"/>
          <w:pgSz w:w="11900" w:h="16840"/>
          <w:pgMar w:top="1838" w:right="1418" w:bottom="1134" w:left="1418" w:header="709" w:footer="709" w:gutter="0"/>
          <w:cols w:space="708"/>
          <w:titlePg/>
          <w:docGrid w:linePitch="360"/>
        </w:sectPr>
      </w:pPr>
    </w:p>
    <w:p w14:paraId="5832D724" w14:textId="13FA3B15" w:rsidR="00F01CE6" w:rsidRDefault="00BA640C" w:rsidP="00BA640C">
      <w:r w:rsidRPr="00417F7C">
        <w:rPr>
          <w:b/>
          <w:bCs/>
        </w:rPr>
        <w:t>Beachten Sie:</w:t>
      </w:r>
      <w:r w:rsidR="005520F8">
        <w:rPr>
          <w:b/>
          <w:bCs/>
        </w:rPr>
        <w:t xml:space="preserve"> </w:t>
      </w:r>
      <w:r w:rsidRPr="00CE41D6">
        <w:t>Die geänderte Sachbezugsverordnung tritt zum 01.01.20</w:t>
      </w:r>
      <w:r w:rsidR="002943E0">
        <w:t>20</w:t>
      </w:r>
      <w:r w:rsidRPr="00CE41D6">
        <w:t xml:space="preserve"> in Kraft, so dass die neuen Sachbezugswerte bereits ab dem ersten Abrechnungsmonat 20</w:t>
      </w:r>
      <w:r w:rsidR="002943E0">
        <w:t>20</w:t>
      </w:r>
      <w:r w:rsidRPr="00CE41D6">
        <w:t xml:space="preserve"> angesetzt werden müssen</w:t>
      </w:r>
    </w:p>
    <w:p w14:paraId="7BAEB107" w14:textId="77CA56AC" w:rsidR="001B60AB" w:rsidRDefault="001B60AB" w:rsidP="00BA640C"/>
    <w:p w14:paraId="286BEB83" w14:textId="77777777" w:rsidR="001B60AB" w:rsidRDefault="001B60AB" w:rsidP="00BA640C"/>
    <w:p w14:paraId="7D3D877A" w14:textId="77777777" w:rsidR="001B60AB" w:rsidRDefault="001B60AB" w:rsidP="00BA640C"/>
    <w:p w14:paraId="56E356F2" w14:textId="544885B0" w:rsidR="001B60AB" w:rsidRDefault="001B60AB" w:rsidP="00BA640C">
      <w:pPr>
        <w:sectPr w:rsidR="001B60AB" w:rsidSect="001B60AB">
          <w:type w:val="continuous"/>
          <w:pgSz w:w="11900" w:h="16840"/>
          <w:pgMar w:top="1838" w:right="1418" w:bottom="1134" w:left="1418" w:header="709" w:footer="709" w:gutter="0"/>
          <w:cols w:num="2" w:space="708"/>
          <w:titlePg/>
          <w:docGrid w:linePitch="360"/>
        </w:sectPr>
      </w:pPr>
    </w:p>
    <w:p w14:paraId="0F35FD57" w14:textId="0CD341FC" w:rsidR="00F01CE6" w:rsidRDefault="00BA640C" w:rsidP="00BA640C">
      <w:pPr>
        <w:sectPr w:rsidR="00F01CE6" w:rsidSect="00D94440">
          <w:type w:val="continuous"/>
          <w:pgSz w:w="11900" w:h="16840"/>
          <w:pgMar w:top="1838" w:right="1418" w:bottom="1134" w:left="1418" w:header="709" w:footer="709" w:gutter="0"/>
          <w:cols w:num="2" w:space="708"/>
          <w:titlePg/>
          <w:docGrid w:linePitch="360"/>
        </w:sectPr>
      </w:pPr>
      <w:r w:rsidRPr="00CE41D6">
        <w:t>.</w:t>
      </w:r>
    </w:p>
    <w:p w14:paraId="57490878" w14:textId="196685B3" w:rsidR="00125F9F" w:rsidRDefault="00125F9F" w:rsidP="00E2150E">
      <w:pPr>
        <w:pStyle w:val="berschrift1"/>
      </w:pPr>
      <w:bookmarkStart w:id="6" w:name="_Toc27388499"/>
      <w:r>
        <w:t>Änderungen durch das Jahressteuergesetz 2019</w:t>
      </w:r>
      <w:bookmarkEnd w:id="6"/>
    </w:p>
    <w:p w14:paraId="0B11023D" w14:textId="08E52D83" w:rsidR="00874968" w:rsidRDefault="00874968" w:rsidP="00125F9F">
      <w:r>
        <w:t>D</w:t>
      </w:r>
      <w:r w:rsidRPr="00874968">
        <w:t xml:space="preserve">er </w:t>
      </w:r>
      <w:r w:rsidR="002846A3">
        <w:t>Bundesrat</w:t>
      </w:r>
      <w:r>
        <w:t xml:space="preserve"> hat im November diese</w:t>
      </w:r>
      <w:r w:rsidR="002846A3">
        <w:t>s</w:t>
      </w:r>
      <w:r>
        <w:t xml:space="preserve"> Jahres</w:t>
      </w:r>
      <w:r w:rsidRPr="00874968">
        <w:t xml:space="preserve"> </w:t>
      </w:r>
      <w:r w:rsidR="002846A3">
        <w:t>dem</w:t>
      </w:r>
      <w:r w:rsidRPr="00874968">
        <w:t xml:space="preserve"> sog. Jahressteuergesetz 2019</w:t>
      </w:r>
      <w:r>
        <w:t xml:space="preserve"> (</w:t>
      </w:r>
      <w:proofErr w:type="spellStart"/>
      <w:r>
        <w:t>JStG</w:t>
      </w:r>
      <w:proofErr w:type="spellEnd"/>
      <w:r>
        <w:t xml:space="preserve"> 2019) </w:t>
      </w:r>
      <w:r w:rsidR="002846A3">
        <w:t>zugestimmt, so dass zum Anfang des Jahres eine Vielzahl neuer steuerlicher Regelung in Kraft treten. Nachfolgend stellen wir Ihnen die wesentlichen Neuerungen für die Praxis vor</w:t>
      </w:r>
      <w:r w:rsidR="00F323C6">
        <w:t>.</w:t>
      </w:r>
    </w:p>
    <w:p w14:paraId="453C0000" w14:textId="238F9B64" w:rsidR="00E2150E" w:rsidRDefault="00E2150E" w:rsidP="00417F7C">
      <w:pPr>
        <w:pStyle w:val="berschrift2"/>
        <w:spacing w:before="360"/>
      </w:pPr>
      <w:r>
        <w:t>Neue Pauschbeträge für Verpflegungsmehraufwand und Übernachtung 2020</w:t>
      </w:r>
    </w:p>
    <w:p w14:paraId="61D233F5" w14:textId="7BBBDBDC" w:rsidR="005965B3" w:rsidRDefault="0062314D" w:rsidP="005965B3">
      <w:r>
        <w:t xml:space="preserve">Durch das </w:t>
      </w:r>
      <w:proofErr w:type="spellStart"/>
      <w:r>
        <w:t>JStG</w:t>
      </w:r>
      <w:proofErr w:type="spellEnd"/>
      <w:r>
        <w:t xml:space="preserve"> 2019 sollen die Pauschalen für </w:t>
      </w:r>
      <w:r w:rsidR="005965B3">
        <w:t>Verpflegungsmehraufwendungen wie folgt angehoben werden:</w:t>
      </w:r>
    </w:p>
    <w:p w14:paraId="6EAF2372" w14:textId="77777777" w:rsidR="005965B3" w:rsidRDefault="005965B3" w:rsidP="00A242C6">
      <w:pPr>
        <w:pStyle w:val="Listenabsatz"/>
        <w:numPr>
          <w:ilvl w:val="0"/>
          <w:numId w:val="22"/>
        </w:numPr>
      </w:pPr>
      <w:r>
        <w:t>für jeden Kalendertag, an dem der Arbeitnehmer 24 Stunden von seiner Wohnung und ersten Tätigkeitsstätte abwesend ist, von 24 € auf 28 €,•</w:t>
      </w:r>
    </w:p>
    <w:p w14:paraId="6FE0B7F2" w14:textId="26063AB2" w:rsidR="005965B3" w:rsidRDefault="005965B3" w:rsidP="00A242C6">
      <w:pPr>
        <w:pStyle w:val="Listenabsatz"/>
        <w:numPr>
          <w:ilvl w:val="0"/>
          <w:numId w:val="22"/>
        </w:numPr>
      </w:pPr>
      <w:r>
        <w:t>für den An- oder Abreisetag, wenn der Arbeitnehmer an diesem, einem anschließenden oder vorhergehendem Tag außerhalb seiner Wohnung übernachtet, von jeweils 12 € auf 14 € und</w:t>
      </w:r>
    </w:p>
    <w:p w14:paraId="5D9AD8F9" w14:textId="19EED9EF" w:rsidR="005965B3" w:rsidRDefault="00A242C6" w:rsidP="00A242C6">
      <w:pPr>
        <w:pStyle w:val="Listenabsatz"/>
        <w:numPr>
          <w:ilvl w:val="0"/>
          <w:numId w:val="22"/>
        </w:numPr>
      </w:pPr>
      <w:r>
        <w:t>für j</w:t>
      </w:r>
      <w:r w:rsidR="005965B3">
        <w:t>eden Kalendertag, an dem der Arbeitnehmer ohne Übernachtung außerhalb seiner Wohnung mehr als acht Stunden von seiner Wohnung und ersten Tätigkeitsstätte abwesend ist, von 12 € auf 14 €.</w:t>
      </w:r>
    </w:p>
    <w:p w14:paraId="05020FAC" w14:textId="77777777" w:rsidR="001B60AB" w:rsidRDefault="001B60AB" w:rsidP="005965B3"/>
    <w:p w14:paraId="5498969B" w14:textId="77777777" w:rsidR="001B60AB" w:rsidRDefault="001B60AB" w:rsidP="005965B3"/>
    <w:p w14:paraId="29D8C7EF" w14:textId="59A2789A" w:rsidR="00460A73" w:rsidRDefault="005965B3" w:rsidP="005965B3">
      <w:r>
        <w:t xml:space="preserve">Die neuen Pauschalen für Verpflegungsmehraufwendungen </w:t>
      </w:r>
      <w:r w:rsidR="001B60AB">
        <w:t>sind</w:t>
      </w:r>
      <w:r>
        <w:t xml:space="preserve"> erstmals für den Veranlagungszeitraum 2020 anwendbar sein. </w:t>
      </w:r>
    </w:p>
    <w:p w14:paraId="02D150B3" w14:textId="72D46147" w:rsidR="00007AA4" w:rsidRDefault="00690AF6" w:rsidP="00417F7C">
      <w:pPr>
        <w:pStyle w:val="berschrift2"/>
        <w:spacing w:before="360"/>
      </w:pPr>
      <w:r>
        <w:t>Neuregelung zur 44-EUR-</w:t>
      </w:r>
      <w:r w:rsidR="00FD2DD6">
        <w:t>Sachlohngrenze</w:t>
      </w:r>
    </w:p>
    <w:p w14:paraId="58A4DEBF" w14:textId="05910E7C" w:rsidR="00FD2DD6" w:rsidRDefault="00F323C6" w:rsidP="00FD2DD6">
      <w:r>
        <w:t>Eine wesentliche Änderung sieht das Gesetz zu den beliebten</w:t>
      </w:r>
      <w:r w:rsidR="00BF0256">
        <w:t xml:space="preserve"> Gutscheine</w:t>
      </w:r>
      <w:r w:rsidR="00AF3044">
        <w:t>n</w:t>
      </w:r>
      <w:r w:rsidR="00BF0256">
        <w:t xml:space="preserve"> an Arbeitnehmer </w:t>
      </w:r>
      <w:r>
        <w:t>im Rahmen der</w:t>
      </w:r>
      <w:r w:rsidR="00BF0256">
        <w:t xml:space="preserve"> 44</w:t>
      </w:r>
      <w:r>
        <w:t xml:space="preserve"> EUR-Grenze vor.</w:t>
      </w:r>
      <w:r w:rsidR="00BF0256">
        <w:t xml:space="preserve"> </w:t>
      </w:r>
      <w:r>
        <w:t>D</w:t>
      </w:r>
      <w:r w:rsidR="00DF5329">
        <w:t xml:space="preserve">ie Gewährung von Gutscheinen und Geldkarten </w:t>
      </w:r>
      <w:r>
        <w:t xml:space="preserve">stellt hiernach </w:t>
      </w:r>
      <w:r w:rsidR="00DF5329">
        <w:t xml:space="preserve">grundsätzlich </w:t>
      </w:r>
      <w:proofErr w:type="spellStart"/>
      <w:r>
        <w:t>Barlohn</w:t>
      </w:r>
      <w:proofErr w:type="spellEnd"/>
      <w:r>
        <w:t xml:space="preserve"> dar,</w:t>
      </w:r>
      <w:r w:rsidR="00DF5329">
        <w:t xml:space="preserve"> es sei denn, diese </w:t>
      </w:r>
      <w:r w:rsidR="00DF4640">
        <w:t xml:space="preserve">erfüllen </w:t>
      </w:r>
      <w:r w:rsidR="00DF5329">
        <w:t>die Voraussetzungen des Zahlungsdienstaufsicht</w:t>
      </w:r>
      <w:r>
        <w:t>s</w:t>
      </w:r>
      <w:r w:rsidR="00DF5329">
        <w:t xml:space="preserve">gesetzes (ZAG). </w:t>
      </w:r>
    </w:p>
    <w:p w14:paraId="67867220" w14:textId="77777777" w:rsidR="001B60AB" w:rsidRDefault="00DF4640" w:rsidP="00FD2DD6">
      <w:r>
        <w:t>Durch den Verweis auf das ZAG bestehen derzeit</w:t>
      </w:r>
      <w:r w:rsidR="008C6534">
        <w:t xml:space="preserve"> in vielen gängigen Gutscheinmodellen Zweifel, ob diese ab dem Jahr 2020 wie gehabt als steuerfreier </w:t>
      </w:r>
      <w:proofErr w:type="spellStart"/>
      <w:r w:rsidR="008C6534">
        <w:t>Sachlohn</w:t>
      </w:r>
      <w:proofErr w:type="spellEnd"/>
      <w:r w:rsidR="008C6534">
        <w:t xml:space="preserve"> im Rahmen der 44 </w:t>
      </w:r>
      <w:r w:rsidR="00F323C6">
        <w:t>EUR</w:t>
      </w:r>
      <w:r w:rsidR="008C6534">
        <w:t xml:space="preserve">-Grenze gewährt werden können. </w:t>
      </w:r>
    </w:p>
    <w:p w14:paraId="01627B1B" w14:textId="2BB8B1B7" w:rsidR="00DF4640" w:rsidRDefault="008C6534" w:rsidP="00FD2DD6">
      <w:r>
        <w:t>Sicher ist dies aktuell nur bei solchen Gutschein</w:t>
      </w:r>
      <w:r w:rsidR="0025724F">
        <w:t>en, die ausdrücklich vom ZAG erfasst sind. Hierunter fallen Gutscheine</w:t>
      </w:r>
      <w:r w:rsidR="00857112">
        <w:t>,</w:t>
      </w:r>
    </w:p>
    <w:p w14:paraId="2C8CB361" w14:textId="2C38125D" w:rsidR="0025724F" w:rsidRDefault="0025724F" w:rsidP="0025724F">
      <w:pPr>
        <w:pStyle w:val="Listenabsatz"/>
        <w:numPr>
          <w:ilvl w:val="0"/>
          <w:numId w:val="23"/>
        </w:numPr>
      </w:pPr>
      <w:r>
        <w:t>die zum Erwerb von Waren oder Dienstleistungen des Gutscheinausstellers oder</w:t>
      </w:r>
    </w:p>
    <w:p w14:paraId="4520BA23" w14:textId="5E1EBD72" w:rsidR="00702D22" w:rsidRDefault="00702D22" w:rsidP="00702D22">
      <w:pPr>
        <w:pStyle w:val="Listenabsatz"/>
        <w:numPr>
          <w:ilvl w:val="0"/>
          <w:numId w:val="23"/>
        </w:numPr>
      </w:pPr>
      <w:r>
        <w:t>eines begrenzten Waren- oder Dienstleistungsspektrums eingesetzt werden können.</w:t>
      </w:r>
    </w:p>
    <w:p w14:paraId="5312D192" w14:textId="48F9A195" w:rsidR="00F323C6" w:rsidRDefault="001B60AB" w:rsidP="00F323C6">
      <w:r>
        <w:br w:type="column"/>
      </w:r>
      <w:r w:rsidR="00F323C6">
        <w:lastRenderedPageBreak/>
        <w:t xml:space="preserve">Vom ZAG erfasst sind beispielsweise (reine) Tankgutscheine, welche direkt vom Anbieter ausgestellt sind (z.B. Shell, Aral etc.). Die Ausgabe kann hierbei auch im Rahmen einer aufladbaren „Tankkarte“ erfolgen. Solche Gutscheine führen daher auch ab dem Jahr 2020 zu einer Zuwendung von </w:t>
      </w:r>
      <w:proofErr w:type="spellStart"/>
      <w:r w:rsidR="00F323C6">
        <w:t>Sachlohn</w:t>
      </w:r>
      <w:proofErr w:type="spellEnd"/>
      <w:r w:rsidR="00F323C6">
        <w:t xml:space="preserve"> und können daher monatlich bis zu 44 EUR steuerfrei vom Arbeitgeber zugewandt werden. </w:t>
      </w:r>
    </w:p>
    <w:p w14:paraId="0B0A5BFE" w14:textId="06AB8747" w:rsidR="00DF5329" w:rsidRDefault="006365EE" w:rsidP="00F323C6">
      <w:r>
        <w:t>Die Finanzverwaltung hat bereits angekündigt, hier zeitnah</w:t>
      </w:r>
      <w:r w:rsidR="007B510C">
        <w:t xml:space="preserve"> einen entsprechenden Anwendungserlass zu veröffentlichen. Bis dahin sollten aus Sicherheitsgründen</w:t>
      </w:r>
      <w:r w:rsidR="00F8529A">
        <w:t xml:space="preserve"> </w:t>
      </w:r>
      <w:r w:rsidR="007B510C">
        <w:t>Gutscheinkartenmodelle</w:t>
      </w:r>
      <w:r w:rsidR="00126CC7">
        <w:t>, welche nicht sicher dem ZAG unterfallen, umgestellt bzw. ausgesetzt werden.</w:t>
      </w:r>
    </w:p>
    <w:p w14:paraId="5B2321F1" w14:textId="560DCD65" w:rsidR="009309FE" w:rsidRPr="00417F7C" w:rsidRDefault="009309FE" w:rsidP="00417F7C">
      <w:pPr>
        <w:pStyle w:val="berschrift2"/>
        <w:spacing w:before="360"/>
      </w:pPr>
      <w:r w:rsidRPr="009309FE">
        <w:t>Vorteil bei Privatnutzung</w:t>
      </w:r>
      <w:r w:rsidR="00FC6DAA">
        <w:t xml:space="preserve"> eines Elektro- oder Hybrid-</w:t>
      </w:r>
      <w:proofErr w:type="spellStart"/>
      <w:r w:rsidR="00FC6DAA">
        <w:t>KfZ</w:t>
      </w:r>
      <w:proofErr w:type="spellEnd"/>
    </w:p>
    <w:p w14:paraId="4734889A" w14:textId="47DBDA13" w:rsidR="00007AA4" w:rsidRDefault="009F50D0" w:rsidP="00007AA4">
      <w:r>
        <w:t>Bei der Ermittlung des geldwerten Vorteils</w:t>
      </w:r>
      <w:r w:rsidRPr="009F50D0">
        <w:t xml:space="preserve"> </w:t>
      </w:r>
      <w:r>
        <w:t xml:space="preserve">aus der Privatnutzung eines betrieblichen Elektro- </w:t>
      </w:r>
      <w:r w:rsidR="00FC6DAA">
        <w:t>oder</w:t>
      </w:r>
      <w:r>
        <w:t xml:space="preserve"> Hybrid-Kfz ist seit dem Jahr 2019 bei der Anwendung der 1- Prozent-Methode nur noch der hälftige Bruttolistenpreis bzw. bei der Anwendung der Fahrtenbuchmethode nur noch die hälftige Abschreibung bzw. Leasingrate einzubeziehen. Diese Regelung gilt aktuell für alle nach dem 31.12.2018 und vor dem 1.1.2022 angeschafften</w:t>
      </w:r>
      <w:r w:rsidRPr="009F50D0">
        <w:t xml:space="preserve"> </w:t>
      </w:r>
      <w:r>
        <w:t xml:space="preserve">Elektro- und Hybrid-Kfz. Mit dem </w:t>
      </w:r>
      <w:proofErr w:type="spellStart"/>
      <w:r>
        <w:t>JStG</w:t>
      </w:r>
      <w:proofErr w:type="spellEnd"/>
      <w:r>
        <w:t xml:space="preserve"> 2019 wird die Regelung bis zum 31.12.2030 verlängert. </w:t>
      </w:r>
    </w:p>
    <w:p w14:paraId="2EDFB661" w14:textId="299684B2" w:rsidR="009F50D0" w:rsidRDefault="009F50D0" w:rsidP="009F50D0">
      <w:r>
        <w:t>Die Regelung gilt auch für</w:t>
      </w:r>
    </w:p>
    <w:p w14:paraId="57646C19" w14:textId="32BF4D98" w:rsidR="009F50D0" w:rsidRDefault="009F50D0" w:rsidP="009F50D0">
      <w:pPr>
        <w:pStyle w:val="Listenabsatz"/>
        <w:numPr>
          <w:ilvl w:val="0"/>
          <w:numId w:val="20"/>
        </w:numPr>
      </w:pPr>
      <w:r>
        <w:t>Fahrten zwischen Wohnung und Betriebsstätte</w:t>
      </w:r>
    </w:p>
    <w:p w14:paraId="4293D226" w14:textId="456F2017" w:rsidR="009F50D0" w:rsidRDefault="009F50D0" w:rsidP="009F50D0">
      <w:pPr>
        <w:pStyle w:val="Listenabsatz"/>
        <w:numPr>
          <w:ilvl w:val="0"/>
          <w:numId w:val="20"/>
        </w:numPr>
      </w:pPr>
      <w:r>
        <w:t>geldwerter Vorteil für die private Nutzung durch Arbeitnehmer</w:t>
      </w:r>
    </w:p>
    <w:p w14:paraId="3BF1D831" w14:textId="4A788837" w:rsidR="009F50D0" w:rsidRDefault="009F50D0" w:rsidP="009F50D0">
      <w:pPr>
        <w:pStyle w:val="Listenabsatz"/>
        <w:numPr>
          <w:ilvl w:val="0"/>
          <w:numId w:val="20"/>
        </w:numPr>
      </w:pPr>
      <w:r>
        <w:t>Nutzung für Fahrten zwischen Wohnung und erster Tätigkeitsstätte durch AN</w:t>
      </w:r>
    </w:p>
    <w:p w14:paraId="687A1ED8" w14:textId="1563E22E" w:rsidR="009F50D0" w:rsidRDefault="009F50D0" w:rsidP="009F50D0">
      <w:pPr>
        <w:pStyle w:val="Listenabsatz"/>
        <w:numPr>
          <w:ilvl w:val="0"/>
          <w:numId w:val="20"/>
        </w:numPr>
      </w:pPr>
      <w:r>
        <w:t>Familienheimfahrten im Rahmen einer doppelten Haushaltsführung</w:t>
      </w:r>
    </w:p>
    <w:p w14:paraId="2A272753" w14:textId="5B0E6542" w:rsidR="009309FE" w:rsidRDefault="009309FE" w:rsidP="009309FE">
      <w:r>
        <w:t>Bei reinen E-</w:t>
      </w:r>
      <w:r w:rsidRPr="009309FE">
        <w:t xml:space="preserve">Fahrzeugen, die keinen CO2-Ausstoß haben, </w:t>
      </w:r>
      <w:r>
        <w:t xml:space="preserve">wird der Gesetzgeber sogar noch großzügiger: Bei diesen ist für die Privatnutzung </w:t>
      </w:r>
      <w:r w:rsidRPr="009309FE">
        <w:t>nur ¼ des Bruttolistenpreises anzusetzen</w:t>
      </w:r>
      <w:r>
        <w:t>, vorausgesetzt</w:t>
      </w:r>
      <w:r w:rsidRPr="009309FE">
        <w:t xml:space="preserve"> das </w:t>
      </w:r>
      <w:r>
        <w:t>E-</w:t>
      </w:r>
      <w:r w:rsidRPr="009309FE">
        <w:t xml:space="preserve">KFZ </w:t>
      </w:r>
      <w:r>
        <w:t xml:space="preserve">hat </w:t>
      </w:r>
      <w:r w:rsidRPr="009309FE">
        <w:t xml:space="preserve">einen Bruttolistenpreis von </w:t>
      </w:r>
      <w:r>
        <w:t xml:space="preserve">höchstens </w:t>
      </w:r>
      <w:r w:rsidRPr="009309FE">
        <w:t>40.000 €.</w:t>
      </w:r>
      <w:r>
        <w:t xml:space="preserve"> </w:t>
      </w:r>
    </w:p>
    <w:p w14:paraId="466F5FEE" w14:textId="11934022" w:rsidR="009309FE" w:rsidRPr="009309FE" w:rsidRDefault="009309FE" w:rsidP="009309FE">
      <w:pPr>
        <w:rPr>
          <w:b/>
          <w:bCs/>
        </w:rPr>
      </w:pPr>
      <w:r w:rsidRPr="009309FE">
        <w:rPr>
          <w:b/>
          <w:bCs/>
        </w:rPr>
        <w:t>Hinweis</w:t>
      </w:r>
    </w:p>
    <w:p w14:paraId="2C744E27" w14:textId="70B72950" w:rsidR="009309FE" w:rsidRDefault="009309FE" w:rsidP="009309FE">
      <w:r>
        <w:t xml:space="preserve">Bei reinen E-Fahrzeugen gibt es zudem eine zehnjährige Befreiung von der </w:t>
      </w:r>
      <w:proofErr w:type="spellStart"/>
      <w:r>
        <w:t>KfZ</w:t>
      </w:r>
      <w:proofErr w:type="spellEnd"/>
      <w:r>
        <w:t>-Steuer, d</w:t>
      </w:r>
      <w:r w:rsidRPr="009309FE">
        <w:t>aran anschließend ermäßigt sich die zu zahlende Kraftfahrzeugsteuer um 50 Prozent</w:t>
      </w:r>
      <w:r>
        <w:t xml:space="preserve">. Dies gilt allerdings nur </w:t>
      </w:r>
      <w:r w:rsidRPr="009309FE">
        <w:t xml:space="preserve">bei Erstzulassung </w:t>
      </w:r>
      <w:r>
        <w:t>bis zum</w:t>
      </w:r>
      <w:r w:rsidRPr="009309FE">
        <w:t xml:space="preserve"> 31.</w:t>
      </w:r>
      <w:r>
        <w:t>12.</w:t>
      </w:r>
      <w:r w:rsidRPr="009309FE">
        <w:t>2020</w:t>
      </w:r>
      <w:r>
        <w:t>.</w:t>
      </w:r>
    </w:p>
    <w:p w14:paraId="137DE28C" w14:textId="4CD537C3" w:rsidR="003D1ADF" w:rsidRDefault="003D1ADF" w:rsidP="00417F7C">
      <w:pPr>
        <w:pStyle w:val="berschrift2"/>
        <w:spacing w:before="360"/>
      </w:pPr>
      <w:r>
        <w:t>Vorteile für das elektrische Aufladen</w:t>
      </w:r>
    </w:p>
    <w:p w14:paraId="230730FC" w14:textId="1CA27A81" w:rsidR="004314DA" w:rsidRDefault="004314DA" w:rsidP="004314DA">
      <w:r>
        <w:t>Ebenfalls bis Ende 2030 wird die Steuerbefreiung für vom Arbeitgeber gewährte Vorteile für das elektrische Aufladen eines Elektrofahrzeugs oder Hybridelektrofahrzeug im Betrieb des Arbeitgebers und einer zur privaten Nutzung überlassenem betrieblichen Ladevorrichtung verlängert.</w:t>
      </w:r>
    </w:p>
    <w:p w14:paraId="3ADBA5F0" w14:textId="7D255565" w:rsidR="00604C92" w:rsidRPr="00417F7C" w:rsidRDefault="00604C92" w:rsidP="00417F7C">
      <w:pPr>
        <w:pStyle w:val="berschrift2"/>
        <w:spacing w:before="360"/>
      </w:pPr>
      <w:r w:rsidRPr="00604C92">
        <w:t>Sonderabschreibung für E-Lieferfahrzeuge</w:t>
      </w:r>
    </w:p>
    <w:p w14:paraId="62BD16AA" w14:textId="1F1FC3F3" w:rsidR="00690AF6" w:rsidRDefault="00604C92" w:rsidP="00690AF6">
      <w:r>
        <w:t>Als weiterer Anreiz sieht der Gesetzgeber eine Sonderabschreibung für Elektro</w:t>
      </w:r>
      <w:r w:rsidR="00B11D7A">
        <w:t>nutz</w:t>
      </w:r>
      <w:r>
        <w:t>fahrzeuge i.H.v. 50 % im Jahr der Anschaffung vor</w:t>
      </w:r>
      <w:r w:rsidR="000D742B">
        <w:t>. Voraussetzung ist, dass d</w:t>
      </w:r>
      <w:r w:rsidR="004314DA">
        <w:t>as</w:t>
      </w:r>
      <w:r w:rsidR="000D742B">
        <w:t xml:space="preserve"> Fahrzeug</w:t>
      </w:r>
      <w:r w:rsidR="000D742B" w:rsidRPr="000D742B">
        <w:t xml:space="preserve"> </w:t>
      </w:r>
      <w:r w:rsidR="000D742B">
        <w:t>der Erzielung von betrieblichen Einkünften dienen und zum Anlagevermögen des Unternehmens gehören.</w:t>
      </w:r>
      <w:r w:rsidR="00690AF6">
        <w:t xml:space="preserve"> Daneben kommen auch unternehmerisch genutzte Elektrolastenfahrräder in den Genuss der Begünstigung.</w:t>
      </w:r>
    </w:p>
    <w:p w14:paraId="63203D3A" w14:textId="295419D0" w:rsidR="00604C92" w:rsidRDefault="000F2433" w:rsidP="00604C92">
      <w:r>
        <w:t>Die Sonder-Afa tritt neben die reguläre AfA, hieraus ergibt sich ein nicht unbeachtliches Steuersparpotential im Jahr der Anschaffung.</w:t>
      </w:r>
    </w:p>
    <w:p w14:paraId="1FD557E4" w14:textId="4855EFBA" w:rsidR="000F2433" w:rsidRPr="00690AF6" w:rsidRDefault="000F2433" w:rsidP="00604C92">
      <w:pPr>
        <w:rPr>
          <w:b/>
          <w:bCs/>
          <w:i/>
          <w:iCs/>
        </w:rPr>
      </w:pPr>
      <w:r w:rsidRPr="00690AF6">
        <w:rPr>
          <w:b/>
          <w:bCs/>
          <w:i/>
          <w:iCs/>
        </w:rPr>
        <w:t>Beispiel</w:t>
      </w:r>
    </w:p>
    <w:p w14:paraId="23DA8478" w14:textId="7220C123" w:rsidR="000F2433" w:rsidRDefault="000F2433" w:rsidP="00604C92">
      <w:r>
        <w:t>Unternehmer A schafft sich im Januar 2020 ein begünstigtes E-Lieferfahrzeug an. Die Anschaffungskosten betragen netto 60.000 €.</w:t>
      </w:r>
    </w:p>
    <w:p w14:paraId="2243F292" w14:textId="108AD455" w:rsidR="000F2433" w:rsidRDefault="000F2433" w:rsidP="00604C92">
      <w:r>
        <w:t>A kann im Jahr 2020 eine Sonder-Afa i.H.v. 30.000 € gewinnmindernd gelten machen. Die verbleibenden Anschaffungskosten sind über die gewöhnliche Nutzungsdauer von 6 Jahren linear mit 5.000 € im Jahr abzuschreiben. Im Jahr 2020 kann A somit insgesamt eine Afa von 35.000 € gewinnmindert ansetzen.</w:t>
      </w:r>
    </w:p>
    <w:p w14:paraId="09725C84" w14:textId="7FF3A947" w:rsidR="000F2433" w:rsidRDefault="000F2433" w:rsidP="000F2433">
      <w:r>
        <w:t>Elektronutzfahrzeuge i.S. § 7c EStG sind Fahrzeuge der EG-Fahrzeugklassen N1</w:t>
      </w:r>
      <w:r w:rsidR="00557F5D">
        <w:t xml:space="preserve">, </w:t>
      </w:r>
      <w:r>
        <w:t>N2</w:t>
      </w:r>
      <w:r w:rsidR="00557F5D">
        <w:t xml:space="preserve"> und N3</w:t>
      </w:r>
      <w:r>
        <w:t xml:space="preserve"> die ausschließlich durch Elektromotoren angetrieben werden</w:t>
      </w:r>
      <w:r w:rsidR="000D742B">
        <w:t>.</w:t>
      </w:r>
      <w:r w:rsidR="00557F5D">
        <w:t xml:space="preserve"> </w:t>
      </w:r>
    </w:p>
    <w:p w14:paraId="0353E928" w14:textId="25109663" w:rsidR="000F2433" w:rsidRDefault="000F2433" w:rsidP="000F2433">
      <w:r w:rsidRPr="000D742B">
        <w:rPr>
          <w:b/>
          <w:bCs/>
        </w:rPr>
        <w:t>Achtung</w:t>
      </w:r>
    </w:p>
    <w:p w14:paraId="390076C1" w14:textId="5CC9BE40" w:rsidR="000F2433" w:rsidRDefault="000F2433" w:rsidP="000F2433">
      <w:r>
        <w:t xml:space="preserve">Die Begünstigung greift nur für </w:t>
      </w:r>
      <w:r w:rsidR="000D742B">
        <w:t xml:space="preserve">reine </w:t>
      </w:r>
      <w:r>
        <w:t>Elektro</w:t>
      </w:r>
      <w:r w:rsidR="00690AF6">
        <w:t>nutz</w:t>
      </w:r>
      <w:r>
        <w:t xml:space="preserve">fahrzeuge </w:t>
      </w:r>
      <w:r w:rsidR="000D742B">
        <w:t xml:space="preserve"> - </w:t>
      </w:r>
      <w:r>
        <w:t>Elektro</w:t>
      </w:r>
      <w:r w:rsidR="000D742B">
        <w:t>-H</w:t>
      </w:r>
      <w:r>
        <w:t>ybridfahrzeuge fallen daher von vornherein nicht unter die Neuregelung!</w:t>
      </w:r>
      <w:r w:rsidR="00557F5D">
        <w:t xml:space="preserve"> </w:t>
      </w:r>
    </w:p>
    <w:p w14:paraId="7C16554A" w14:textId="0316C613" w:rsidR="003D1ADF" w:rsidRDefault="003D1ADF" w:rsidP="00417F7C">
      <w:pPr>
        <w:pStyle w:val="berschrift2"/>
        <w:spacing w:before="360"/>
      </w:pPr>
      <w:r>
        <w:t>Jobtickets</w:t>
      </w:r>
    </w:p>
    <w:p w14:paraId="59EBE1C4" w14:textId="18DCB480" w:rsidR="009309FE" w:rsidRDefault="00C04E6E" w:rsidP="009309FE">
      <w:r>
        <w:t xml:space="preserve">Bereits zum Anfang des Jahres hatte der Gesetzgeber die Möglichkeit einer steuerfreien Gewährung eines sog. Jobtickets durch den Arbeitgeber eingeführt. Allerdings sind diese steuerfreien Leistungen auf die Entfernungspauschale des Arbeitnehmers anzurechnen. Dadurch </w:t>
      </w:r>
      <w:r w:rsidR="00D237EF">
        <w:t>können in Einzelfällen Arbeitnehmern durch die Gestellung eines Jobtickets sogar Nachteile entstehen.</w:t>
      </w:r>
    </w:p>
    <w:p w14:paraId="660556D5" w14:textId="7C0D9A4A" w:rsidR="00D237EF" w:rsidRDefault="00777CB2" w:rsidP="009309FE">
      <w:r>
        <w:t xml:space="preserve">Um daher eine höhere Akzeptanz und Attraktivität solcher Jobtickets zu gewährleisten, können Arbeitgeber ab dem Jahr 2020 </w:t>
      </w:r>
      <w:r w:rsidR="00730A9D">
        <w:t xml:space="preserve">den geldwerten Vorteil aus der Gewährung eines Jobtickets </w:t>
      </w:r>
      <w:r>
        <w:t>mit einem Pauschalsteuersatz</w:t>
      </w:r>
      <w:r w:rsidR="00730A9D">
        <w:t xml:space="preserve"> von 25 % der Lohnsteuer unterwerfen. Für diese pauschal besteuerten Bezüge entfällt im Gegenzug die Anrechnung auf die Entfernungspauschale.</w:t>
      </w:r>
    </w:p>
    <w:p w14:paraId="51A0EA8F" w14:textId="12BF9359" w:rsidR="00502029" w:rsidRDefault="00502029" w:rsidP="00417F7C">
      <w:pPr>
        <w:pStyle w:val="berschrift2"/>
        <w:spacing w:before="360"/>
      </w:pPr>
      <w:r>
        <w:t>Diensträder</w:t>
      </w:r>
    </w:p>
    <w:p w14:paraId="3772F793" w14:textId="2B185115" w:rsidR="003D1ADF" w:rsidRDefault="00C53865" w:rsidP="009309FE">
      <w:r>
        <w:t>Die seit diesem Jahr eingeführte Möglichkeit,</w:t>
      </w:r>
      <w:r w:rsidR="00162815">
        <w:t xml:space="preserve"> der steuerfreien Gestellung eines Dienstfahrrads an Arbeitnehmer, wird ebenfalls bis Ende 2030 verlängert. Zudem erhalten Arbeitgeber die Möglichkeit, den geldwerten Vorteil aus der unentgeltlichen oder verbilligten Übereignung von betrieblichen Fahrrädern an den Arbeitnehmer ab dem Jahr 2020 pauschal mit 25 % Lohnsteuer zu besteuern.</w:t>
      </w:r>
    </w:p>
    <w:p w14:paraId="55FD913F" w14:textId="77777777" w:rsidR="003D1ADF" w:rsidRPr="00007AA4" w:rsidRDefault="003D1ADF" w:rsidP="009309FE"/>
    <w:p w14:paraId="3C42B23B" w14:textId="77777777" w:rsidR="00E2150E" w:rsidRDefault="00E2150E" w:rsidP="00E2150E">
      <w:pPr>
        <w:pStyle w:val="berschrift1"/>
      </w:pPr>
      <w:bookmarkStart w:id="7" w:name="_Toc27388500"/>
      <w:r>
        <w:t>Bürokratieentlastungsgesetz III</w:t>
      </w:r>
      <w:bookmarkEnd w:id="7"/>
    </w:p>
    <w:p w14:paraId="65BC4C6F" w14:textId="121C00EA" w:rsidR="00202E89" w:rsidRDefault="00B913B5" w:rsidP="00202E89">
      <w:r>
        <w:t xml:space="preserve">Ebenfalls im November wurde </w:t>
      </w:r>
      <w:r w:rsidR="00202E89" w:rsidRPr="00202E89">
        <w:t>das Bürokratieentlastungsgesetz III beschlossen</w:t>
      </w:r>
      <w:r w:rsidR="0033402A">
        <w:t xml:space="preserve">, </w:t>
      </w:r>
      <w:r>
        <w:t xml:space="preserve">welches </w:t>
      </w:r>
      <w:r w:rsidR="00202E89" w:rsidRPr="00202E89">
        <w:t>eine Fülle von Maßnahmen zur Entlastung der Wirtschaft</w:t>
      </w:r>
      <w:r>
        <w:t xml:space="preserve"> enthält</w:t>
      </w:r>
      <w:r w:rsidR="00202E89" w:rsidRPr="00202E89">
        <w:t xml:space="preserve">. Aus steuerlicher Sicht zählen hierzu </w:t>
      </w:r>
      <w:r w:rsidR="003E6CFB">
        <w:t xml:space="preserve">insbesondere die </w:t>
      </w:r>
      <w:r w:rsidR="00202E89" w:rsidRPr="00202E89">
        <w:t>Folgenden:</w:t>
      </w:r>
    </w:p>
    <w:p w14:paraId="03CD37B6" w14:textId="77777777" w:rsidR="00202E89" w:rsidRDefault="004A38B6" w:rsidP="00417F7C">
      <w:pPr>
        <w:pStyle w:val="berschrift2"/>
        <w:spacing w:before="360"/>
      </w:pPr>
      <w:r w:rsidRPr="004A38B6">
        <w:t>Änderungen Gründung Betrieb bzw. Betriebsstätten</w:t>
      </w:r>
    </w:p>
    <w:p w14:paraId="72DEFE7B" w14:textId="77777777" w:rsidR="00202E89" w:rsidRDefault="004A38B6" w:rsidP="00202E89">
      <w:r>
        <w:t>B</w:t>
      </w:r>
      <w:r w:rsidRPr="004A38B6">
        <w:t xml:space="preserve">ereits bisher war die Eröffnung eines Betriebs der </w:t>
      </w:r>
      <w:r>
        <w:t>land- und forstwirtschaftlichen Betriebs</w:t>
      </w:r>
      <w:r w:rsidRPr="004A38B6">
        <w:t xml:space="preserve"> bzw. eines Gewerbebetriebs der Gemeinde oder die Aufnahmen einer freiberuflichen Tätigkeit dem örtlich zuständigen Finanzamt mi</w:t>
      </w:r>
      <w:r>
        <w:t>tzuteilen</w:t>
      </w:r>
      <w:r w:rsidRPr="004A38B6">
        <w:t>. Anschließend wurden die Daten ans Finanzamt weitergegeben. Dieses versandte einen Fragebogen zur steuerlichen Erfassung.</w:t>
      </w:r>
    </w:p>
    <w:p w14:paraId="6FD5ABD1" w14:textId="77777777" w:rsidR="00202E89" w:rsidRDefault="004A38B6" w:rsidP="00202E89">
      <w:r w:rsidRPr="004A38B6">
        <w:t>Künftig ist der Steuerpflichtige verpflichtet, innerhalb von einem Monat nach dem meldepflichtigen Ereignis von sich aus weitere Informationen gegenüber dem Finanzamt zu erte</w:t>
      </w:r>
      <w:r>
        <w:t>ilen. Ein elektronisches Verfahren ist zwar zukünftig vorgesehen.</w:t>
      </w:r>
      <w:r w:rsidRPr="004A38B6">
        <w:t xml:space="preserve"> Bis </w:t>
      </w:r>
      <w:r>
        <w:t>auf Weiteres</w:t>
      </w:r>
      <w:r w:rsidRPr="004A38B6">
        <w:t xml:space="preserve"> können </w:t>
      </w:r>
      <w:r>
        <w:t xml:space="preserve">aber noch </w:t>
      </w:r>
      <w:r w:rsidRPr="004A38B6">
        <w:t>P</w:t>
      </w:r>
      <w:r>
        <w:t>apiervordrucke verwendet werden.</w:t>
      </w:r>
    </w:p>
    <w:p w14:paraId="732D69EF" w14:textId="77777777" w:rsidR="00202E89" w:rsidRDefault="004A38B6" w:rsidP="00417F7C">
      <w:pPr>
        <w:pStyle w:val="berschrift2"/>
        <w:spacing w:before="360"/>
      </w:pPr>
      <w:r>
        <w:t>Änderungen Existenzgründer bei der Umsatzsteuer</w:t>
      </w:r>
    </w:p>
    <w:p w14:paraId="3045DD27" w14:textId="77DBA74F" w:rsidR="004A38B6" w:rsidRDefault="004A38B6" w:rsidP="00202E89">
      <w:r w:rsidRPr="004A38B6">
        <w:t xml:space="preserve">Grundsätzlich müssen Existenzgründer </w:t>
      </w:r>
      <w:r>
        <w:t>m</w:t>
      </w:r>
      <w:r w:rsidRPr="004A38B6">
        <w:t xml:space="preserve">onatliche </w:t>
      </w:r>
      <w:r>
        <w:t>Umsatzsteuerv</w:t>
      </w:r>
      <w:r w:rsidRPr="004A38B6">
        <w:t xml:space="preserve">oranmeldungen abgeben. Zugunsten der Gründer wird diese Regelung vom 01.01.2021 bis zum 31.12.2026 ausgesetzt. Es sind dann (wenn </w:t>
      </w:r>
      <w:r>
        <w:t xml:space="preserve">im Vorjahr </w:t>
      </w:r>
      <w:r w:rsidRPr="004A38B6">
        <w:t xml:space="preserve">die </w:t>
      </w:r>
      <w:r>
        <w:t>Umsatzg</w:t>
      </w:r>
      <w:r w:rsidRPr="004A38B6">
        <w:t xml:space="preserve">renze </w:t>
      </w:r>
      <w:r>
        <w:t xml:space="preserve">von </w:t>
      </w:r>
      <w:r w:rsidRPr="004A38B6">
        <w:t>7.500 €</w:t>
      </w:r>
      <w:r>
        <w:t>) nur</w:t>
      </w:r>
      <w:r w:rsidRPr="004A38B6">
        <w:t xml:space="preserve"> vierteljährliche Meldungen abzugeben.</w:t>
      </w:r>
      <w:r>
        <w:t xml:space="preserve"> D</w:t>
      </w:r>
      <w:r w:rsidRPr="004A38B6">
        <w:t>ie Regelung tritt ab 01.01.2021 in Kraft.</w:t>
      </w:r>
    </w:p>
    <w:p w14:paraId="0341E73B" w14:textId="77777777" w:rsidR="004A38B6" w:rsidRDefault="004A38B6" w:rsidP="00417F7C">
      <w:pPr>
        <w:pStyle w:val="berschrift2"/>
        <w:spacing w:before="360"/>
      </w:pPr>
      <w:r>
        <w:t>Änderungen für Kleinunternehmer</w:t>
      </w:r>
    </w:p>
    <w:p w14:paraId="32D3E850" w14:textId="77777777" w:rsidR="00007AA4" w:rsidRDefault="00007AA4" w:rsidP="004A38B6">
      <w:r>
        <w:t xml:space="preserve">Kleinunternehmer brauchen keine Umsatzsteuer abführen und können im Gegenzug keine Vorsteuern abziehen. Sie brauchen daher grundsätzlich weder Umsatzsteuervoranmeldungen noch Jahreserklärungen abgeben. Insbesondere für kleine Unternehmen, die sich mit Ihren Produkten oder Dienstleistungen vorwiegend an Privatpersonen wenden, stellt dies einen Wettbewerbsvorteil dar. </w:t>
      </w:r>
    </w:p>
    <w:p w14:paraId="205E30EA" w14:textId="77777777" w:rsidR="00007AA4" w:rsidRDefault="00007AA4" w:rsidP="004A38B6">
      <w:r>
        <w:t>Bisher galt: W</w:t>
      </w:r>
      <w:r w:rsidRPr="004A38B6">
        <w:t>enn der Umsatz im vorangegangenen Kalenderjahr 17</w:t>
      </w:r>
      <w:r>
        <w:t>.</w:t>
      </w:r>
      <w:r w:rsidRPr="004A38B6">
        <w:t>500</w:t>
      </w:r>
      <w:r>
        <w:t> €</w:t>
      </w:r>
      <w:r w:rsidRPr="004A38B6">
        <w:t xml:space="preserve"> nicht überstiegen hat u</w:t>
      </w:r>
      <w:r>
        <w:t xml:space="preserve">nd im laufenden Kalenderjahr 50.000 € </w:t>
      </w:r>
      <w:r w:rsidRPr="004A38B6">
        <w:t>voraussichtlich nicht übersteigen wird</w:t>
      </w:r>
      <w:r>
        <w:t>, liegt ein Kleinunternehmer vor.</w:t>
      </w:r>
    </w:p>
    <w:p w14:paraId="5ADA9255" w14:textId="02D6DFF1" w:rsidR="004A38B6" w:rsidRDefault="004A38B6" w:rsidP="00202E89">
      <w:r w:rsidRPr="004A38B6">
        <w:t xml:space="preserve">Die Kleinunternehmergrenze wird </w:t>
      </w:r>
      <w:r w:rsidR="00007AA4">
        <w:t xml:space="preserve">nun aber </w:t>
      </w:r>
      <w:r w:rsidRPr="004A38B6">
        <w:t xml:space="preserve">auf </w:t>
      </w:r>
      <w:r>
        <w:t xml:space="preserve">jetzt </w:t>
      </w:r>
      <w:r w:rsidRPr="004A38B6">
        <w:t>22.000 € erhöht. Die</w:t>
      </w:r>
      <w:r>
        <w:t>se</w:t>
      </w:r>
      <w:r w:rsidRPr="004A38B6">
        <w:t xml:space="preserve"> Änderung tritt </w:t>
      </w:r>
      <w:r>
        <w:t xml:space="preserve">bereits </w:t>
      </w:r>
      <w:r w:rsidRPr="004A38B6">
        <w:t>zum 01.01.2020(!) in Kraft.</w:t>
      </w:r>
      <w:r>
        <w:t xml:space="preserve"> </w:t>
      </w:r>
    </w:p>
    <w:p w14:paraId="778714F7" w14:textId="77777777" w:rsidR="00417F7C" w:rsidRDefault="00417F7C" w:rsidP="004A38B6">
      <w:pPr>
        <w:rPr>
          <w:b/>
          <w:bCs/>
        </w:rPr>
      </w:pPr>
    </w:p>
    <w:p w14:paraId="0E2CA691" w14:textId="0859C92A" w:rsidR="004A38B6" w:rsidRPr="00007AA4" w:rsidRDefault="004A38B6" w:rsidP="004A38B6">
      <w:pPr>
        <w:rPr>
          <w:u w:val="single"/>
        </w:rPr>
      </w:pPr>
      <w:r w:rsidRPr="00417F7C">
        <w:rPr>
          <w:b/>
          <w:bCs/>
        </w:rPr>
        <w:t>Beispiel</w:t>
      </w:r>
      <w:r w:rsidRPr="00007AA4">
        <w:rPr>
          <w:u w:val="single"/>
        </w:rPr>
        <w:t>:</w:t>
      </w:r>
    </w:p>
    <w:p w14:paraId="61FEBA6D" w14:textId="77777777" w:rsidR="004A38B6" w:rsidRDefault="004A38B6" w:rsidP="004A38B6">
      <w:r>
        <w:t>A erzielt im Jahr 2019 einen maßgeblichen Gesamtumsatz i.H.v. 20.000 € und im Jahr 2020 voraussichtlich einen maßgeblichen Gesamtumsatz i.H.v. 35.000 €.</w:t>
      </w:r>
    </w:p>
    <w:p w14:paraId="5F6F2BB2" w14:textId="77777777" w:rsidR="004A38B6" w:rsidRDefault="004A38B6" w:rsidP="004A38B6">
      <w:r>
        <w:t>A ist auch in 2020 Kleinunternehmer, da der maßgebliche Gesamtumsatz im vorangegangenen Kalenderjahr 22.000 € nicht überschritten hat.</w:t>
      </w:r>
    </w:p>
    <w:p w14:paraId="46EC420D" w14:textId="77777777" w:rsidR="00007AA4" w:rsidRDefault="00007AA4" w:rsidP="004A38B6">
      <w:r>
        <w:t>Ohne die Gesetzesänderung wäre A zwingend zum Regelunternehmer geworden.</w:t>
      </w:r>
    </w:p>
    <w:p w14:paraId="5118A26D" w14:textId="77777777" w:rsidR="00857112" w:rsidRPr="00857112" w:rsidRDefault="00857112" w:rsidP="00857112"/>
    <w:p w14:paraId="3529B046" w14:textId="77777777" w:rsidR="00C403A1" w:rsidRDefault="00C403A1" w:rsidP="00C403A1">
      <w:pPr>
        <w:pStyle w:val="berschrift1"/>
      </w:pPr>
      <w:bookmarkStart w:id="8" w:name="_Toc27388501"/>
      <w:r>
        <w:t>Rückführung Solidaritätszuschlag</w:t>
      </w:r>
      <w:r w:rsidR="005D69F5">
        <w:t xml:space="preserve"> ab 2021</w:t>
      </w:r>
      <w:bookmarkEnd w:id="8"/>
    </w:p>
    <w:p w14:paraId="1B5C4DB7" w14:textId="180EE0BA" w:rsidR="00C403A1" w:rsidRDefault="00C403A1" w:rsidP="00C403A1">
      <w:bookmarkStart w:id="9" w:name="_Hlk27388445"/>
      <w:r>
        <w:t>Der Bundestag hat am 14.11.2019 das Gesetz zur Rückführung des Solidaritätszuschlags 1995 beschlossen</w:t>
      </w:r>
      <w:r w:rsidR="005D69F5">
        <w:t xml:space="preserve"> (vgl. hierzu bereits Mandanteninformationsbrief vom 01.09.2019)</w:t>
      </w:r>
      <w:r>
        <w:t xml:space="preserve">. </w:t>
      </w:r>
    </w:p>
    <w:p w14:paraId="3F1E289E" w14:textId="03DF2816" w:rsidR="005D69F5" w:rsidRDefault="00F74EA0" w:rsidP="00C403A1">
      <w:r w:rsidRPr="005D69F5">
        <w:t xml:space="preserve">Konkret sieht </w:t>
      </w:r>
      <w:r>
        <w:t xml:space="preserve">das Gesetz </w:t>
      </w:r>
      <w:r w:rsidRPr="005D69F5">
        <w:t>vor, dass der Soli in Zukunft erst anfällt, wenn tarifliche Einkommensteuern i.H.v. mehr als 16.956 € (bei Einzelveranlagung) bzw. 33.912 € (bei Zusammenveranlagung) festgesetzt werden. Danach beginnt die Milderungszone</w:t>
      </w:r>
      <w:r>
        <w:t xml:space="preserve"> für sog. Besserverdiener – diese werden </w:t>
      </w:r>
      <w:r w:rsidR="005D69F5" w:rsidRPr="005D69F5">
        <w:t>ebenfalls, allerdings bei steigende</w:t>
      </w:r>
      <w:r w:rsidR="005D69F5">
        <w:t>m</w:t>
      </w:r>
      <w:r w:rsidR="005D69F5" w:rsidRPr="005D69F5">
        <w:t xml:space="preserve"> Einkommen mit abnehmender Wirkung, entlastet</w:t>
      </w:r>
      <w:r w:rsidR="005D69F5">
        <w:t>.</w:t>
      </w:r>
    </w:p>
    <w:bookmarkEnd w:id="9"/>
    <w:p w14:paraId="66935414" w14:textId="77777777" w:rsidR="0051789E" w:rsidRDefault="0051789E" w:rsidP="006379ED"/>
    <w:p w14:paraId="6BE54F1D" w14:textId="77777777" w:rsidR="00F74EA0" w:rsidRDefault="00F74EA0" w:rsidP="00F74EA0">
      <w:pPr>
        <w:pStyle w:val="berschrift1"/>
      </w:pPr>
      <w:bookmarkStart w:id="10" w:name="_Toc27388502"/>
      <w:r>
        <w:t>Belegausgabepflicht für Registrierkassen</w:t>
      </w:r>
      <w:bookmarkEnd w:id="10"/>
    </w:p>
    <w:p w14:paraId="0D61E1E5" w14:textId="4FED4447" w:rsidR="001B60AB" w:rsidRDefault="001B60AB" w:rsidP="001B60AB">
      <w:r>
        <w:t xml:space="preserve">Wie bereits in den letzten Informationsschreiben mitgeteilt, hat die Finanzverwaltung die Frist zur Aufrüstung von Registrierkassen mit einer </w:t>
      </w:r>
      <w:r w:rsidRPr="00C83BD8">
        <w:t>zertifizierten Sicherheitslösung</w:t>
      </w:r>
      <w:r>
        <w:t xml:space="preserve"> (TSE) bzw. die Pflicht zur Anschaffung einer solchen Kasse auf den 30. September 2020 verschoben. Davon unberührt ist jedoch die gesetzlich vorgesehene Belegausgabepflicht – diese greift zum 01.01.2020. Sie wird nicht verschoben! </w:t>
      </w:r>
    </w:p>
    <w:p w14:paraId="7F23D0B9" w14:textId="4EB28F0C" w:rsidR="001B60AB" w:rsidRDefault="001B60AB" w:rsidP="001B60AB">
      <w:r>
        <w:t xml:space="preserve">Es gilt daher: </w:t>
      </w:r>
      <w:r w:rsidRPr="00DE195C">
        <w:t xml:space="preserve">Wer Geschäftsvorfälle </w:t>
      </w:r>
      <w:r>
        <w:t xml:space="preserve">mit Hilfe eines elektronischen Aufzeichnungspflicht </w:t>
      </w:r>
      <w:r w:rsidRPr="00DE195C">
        <w:t xml:space="preserve">erfasst, hat dem </w:t>
      </w:r>
      <w:r>
        <w:t>Kunden</w:t>
      </w:r>
      <w:r w:rsidRPr="00DE195C">
        <w:t xml:space="preserve"> in unmittelbarem zeitlichem Zusamme</w:t>
      </w:r>
      <w:r>
        <w:t>nhang mit dem Geschäftsvorfall</w:t>
      </w:r>
      <w:r w:rsidRPr="00DE195C">
        <w:t xml:space="preserve"> einen Beleg über den Geschäf</w:t>
      </w:r>
      <w:r>
        <w:t>tsvorfall auszustellen und dem Kunden</w:t>
      </w:r>
      <w:r w:rsidRPr="00DE195C">
        <w:t xml:space="preserve"> zur Verfügung zu stellen</w:t>
      </w:r>
      <w:r>
        <w:t>. Wird eine offene Ladenkasse verwendet, greift die Belegausgabepflicht nicht.</w:t>
      </w:r>
    </w:p>
    <w:p w14:paraId="40DE5AA1" w14:textId="77777777" w:rsidR="00F74EA0" w:rsidRDefault="00F74EA0" w:rsidP="00F74EA0">
      <w:r w:rsidRPr="004E17CE">
        <w:rPr>
          <w:b/>
          <w:bCs/>
        </w:rPr>
        <w:t>Hinweis</w:t>
      </w:r>
      <w:r>
        <w:t>: Der Gesetzgeber hat aufgrund des massiven Drucks aus der Wirtschaft aktuell ein „Gesetz zur Verhinderung einer Bon-Pflicht für Bäcker“ auf den Weg gebracht. Hiernach erfolgt eine Befreiung von der Bon-Pflicht beim Warenverkauf an eine Vielzahl von nicht bekannten Personen – vorausgesetzt man verwendet eine TSE-Kasse. Da diese aber erst ab dem 30. September 2020 verpflichtend ist, bleibt aktuell unklar, ob für entsprechende Betriebe dann doch ab Januar 2020 eine Bon-Pflicht greift. Es bleibt zu hoffen, dass der Gesetzgeber hier noch einmal für Klarheit sorgt.</w:t>
      </w:r>
    </w:p>
    <w:p w14:paraId="31E93807" w14:textId="5C612B90" w:rsidR="00417F7C" w:rsidRDefault="001B60AB" w:rsidP="001B60AB">
      <w:r>
        <w:t xml:space="preserve">Eine Pflicht zur Annahme des Belegs durch den Kunden sowie zur Aufbewahrung besteht </w:t>
      </w:r>
      <w:r w:rsidR="00F74EA0">
        <w:t xml:space="preserve">übrigens </w:t>
      </w:r>
      <w:r>
        <w:t>nicht. Es besteht auch keine Aufbewahrungspflicht des Unternehmers für vom Kunden nicht entgegengenommene Papierbelege.</w:t>
      </w:r>
    </w:p>
    <w:p w14:paraId="34D7D150" w14:textId="77777777" w:rsidR="001B60AB" w:rsidRDefault="001B60AB" w:rsidP="001B60AB"/>
    <w:p w14:paraId="3D0D7B00" w14:textId="23117CC1" w:rsidR="005D6D2B" w:rsidRDefault="005D6D2B" w:rsidP="00BF44AD">
      <w:pPr>
        <w:pStyle w:val="berschrift1"/>
      </w:pPr>
      <w:bookmarkStart w:id="11" w:name="_Toc7079744"/>
      <w:bookmarkStart w:id="12" w:name="_Toc7079825"/>
      <w:bookmarkStart w:id="13" w:name="_Toc27388503"/>
      <w:bookmarkEnd w:id="3"/>
      <w:bookmarkEnd w:id="4"/>
      <w:r>
        <w:t xml:space="preserve">Weitere </w:t>
      </w:r>
      <w:r w:rsidRPr="00BF44AD">
        <w:t>Informationen</w:t>
      </w:r>
      <w:bookmarkEnd w:id="11"/>
      <w:bookmarkEnd w:id="12"/>
      <w:bookmarkEnd w:id="13"/>
      <w:r>
        <w:t xml:space="preserve"> </w:t>
      </w:r>
    </w:p>
    <w:p w14:paraId="493492E1" w14:textId="77777777" w:rsidR="005D6D2B" w:rsidRDefault="005D6D2B" w:rsidP="00BF44AD">
      <w: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00F3A074" w14:textId="77777777" w:rsidR="005D6D2B" w:rsidRDefault="005D6D2B" w:rsidP="00BF44AD">
      <w:r>
        <w:t>Gerne beraten wir Sie zu diesen und anderen Themen.</w:t>
      </w:r>
    </w:p>
    <w:p w14:paraId="1D5F2609" w14:textId="77777777" w:rsidR="00692DEB" w:rsidRDefault="005D6D2B" w:rsidP="00BF44AD">
      <w:r>
        <w:t>Bitte vereinbaren Sie bei Interesse einen Besprechungstermin. Wir analysieren individuell Ihre persönliche Situation, zeigen Ihnen Vor- und Nachteile auf und geben Ihnen Gestaltungsempfehlungen.</w:t>
      </w:r>
    </w:p>
    <w:sectPr w:rsidR="00692DEB" w:rsidSect="00D94440">
      <w:type w:val="continuous"/>
      <w:pgSz w:w="11900" w:h="16840"/>
      <w:pgMar w:top="183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A470" w14:textId="77777777" w:rsidR="005A6B75" w:rsidRDefault="005A6B75" w:rsidP="00BF44AD">
      <w:r>
        <w:separator/>
      </w:r>
    </w:p>
    <w:p w14:paraId="225C0646" w14:textId="77777777" w:rsidR="005A6B75" w:rsidRDefault="005A6B75" w:rsidP="00BF44AD"/>
    <w:p w14:paraId="3F697E00" w14:textId="77777777" w:rsidR="005A6B75" w:rsidRDefault="005A6B75" w:rsidP="00BF44AD"/>
  </w:endnote>
  <w:endnote w:type="continuationSeparator" w:id="0">
    <w:p w14:paraId="05DF01A9" w14:textId="77777777" w:rsidR="005A6B75" w:rsidRDefault="005A6B75" w:rsidP="00BF44AD">
      <w:r>
        <w:continuationSeparator/>
      </w:r>
    </w:p>
    <w:p w14:paraId="574F5A47" w14:textId="77777777" w:rsidR="005A6B75" w:rsidRDefault="005A6B75" w:rsidP="00BF44AD"/>
    <w:p w14:paraId="1A47443D" w14:textId="77777777" w:rsidR="005A6B75" w:rsidRDefault="005A6B75" w:rsidP="00BF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92192554"/>
      <w:docPartObj>
        <w:docPartGallery w:val="Page Numbers (Bottom of Page)"/>
        <w:docPartUnique/>
      </w:docPartObj>
    </w:sdtPr>
    <w:sdtEndPr>
      <w:rPr>
        <w:rStyle w:val="Seitenzahl"/>
      </w:rPr>
    </w:sdtEndPr>
    <w:sdtContent>
      <w:p w14:paraId="570AE43F" w14:textId="77777777" w:rsidR="00A242C6" w:rsidRDefault="00A242C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35488076"/>
      <w:docPartObj>
        <w:docPartGallery w:val="Page Numbers (Bottom of Page)"/>
        <w:docPartUnique/>
      </w:docPartObj>
    </w:sdtPr>
    <w:sdtEndPr>
      <w:rPr>
        <w:rStyle w:val="Seitenzahl"/>
      </w:rPr>
    </w:sdtEndPr>
    <w:sdtContent>
      <w:p w14:paraId="57E329E4" w14:textId="77777777" w:rsidR="00A242C6" w:rsidRDefault="00A242C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CAE3F9" w14:textId="77777777" w:rsidR="00A242C6" w:rsidRDefault="00A242C6" w:rsidP="00BF44AD">
    <w:pPr>
      <w:pStyle w:val="Fuzeile"/>
    </w:pPr>
  </w:p>
  <w:p w14:paraId="4298A09F" w14:textId="77777777" w:rsidR="00A242C6" w:rsidRDefault="00A242C6" w:rsidP="00BF44AD"/>
  <w:p w14:paraId="7456D371" w14:textId="77777777" w:rsidR="00A242C6" w:rsidRDefault="00A242C6" w:rsidP="00BF44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F042" w14:textId="77777777" w:rsidR="00A242C6" w:rsidRDefault="00A242C6" w:rsidP="00BF44AD">
    <w:pPr>
      <w:pStyle w:val="Fuzeile"/>
      <w:rPr>
        <w:rStyle w:val="Seitenzahl"/>
        <w:color w:val="7F7F7F" w:themeColor="text1" w:themeTint="80"/>
        <w:sz w:val="18"/>
      </w:rPr>
    </w:pPr>
  </w:p>
  <w:p w14:paraId="1BADFF6D" w14:textId="77777777" w:rsidR="00A242C6" w:rsidRPr="00665F96" w:rsidRDefault="005515A0" w:rsidP="00BF44AD">
    <w:pPr>
      <w:pStyle w:val="Fuzeile"/>
    </w:pPr>
    <w:sdt>
      <w:sdtPr>
        <w:rPr>
          <w:rStyle w:val="Seitenzahl"/>
          <w:color w:val="7F7F7F" w:themeColor="text1" w:themeTint="80"/>
          <w:sz w:val="18"/>
        </w:rPr>
        <w:id w:val="-262379123"/>
        <w:docPartObj>
          <w:docPartGallery w:val="Page Numbers (Bottom of Page)"/>
          <w:docPartUnique/>
        </w:docPartObj>
      </w:sdtPr>
      <w:sdtEndPr>
        <w:rPr>
          <w:rStyle w:val="Seitenzahl"/>
        </w:rPr>
      </w:sdtEndPr>
      <w:sdtContent>
        <w:r w:rsidR="00A242C6" w:rsidRPr="005D6D2B">
          <w:rPr>
            <w:rStyle w:val="Seitenzahl"/>
            <w:color w:val="7F7F7F" w:themeColor="text1" w:themeTint="80"/>
            <w:sz w:val="18"/>
          </w:rPr>
          <w:fldChar w:fldCharType="begin"/>
        </w:r>
        <w:r w:rsidR="00A242C6" w:rsidRPr="005D6D2B">
          <w:rPr>
            <w:rStyle w:val="Seitenzahl"/>
            <w:color w:val="7F7F7F" w:themeColor="text1" w:themeTint="80"/>
            <w:sz w:val="18"/>
          </w:rPr>
          <w:instrText xml:space="preserve"> PAGE </w:instrText>
        </w:r>
        <w:r w:rsidR="00A242C6" w:rsidRPr="005D6D2B">
          <w:rPr>
            <w:rStyle w:val="Seitenzahl"/>
            <w:color w:val="7F7F7F" w:themeColor="text1" w:themeTint="80"/>
            <w:sz w:val="18"/>
          </w:rPr>
          <w:fldChar w:fldCharType="separate"/>
        </w:r>
        <w:r>
          <w:rPr>
            <w:rStyle w:val="Seitenzahl"/>
            <w:noProof/>
            <w:color w:val="7F7F7F" w:themeColor="text1" w:themeTint="80"/>
            <w:sz w:val="18"/>
          </w:rPr>
          <w:t>2</w:t>
        </w:r>
        <w:r w:rsidR="00A242C6" w:rsidRPr="005D6D2B">
          <w:rPr>
            <w:rStyle w:val="Seitenzahl"/>
            <w:color w:val="7F7F7F" w:themeColor="text1" w:themeTint="80"/>
            <w:sz w:val="18"/>
          </w:rPr>
          <w:fldChar w:fldCharType="end"/>
        </w:r>
      </w:sdtContent>
    </w:sdt>
    <w:r w:rsidR="00A242C6" w:rsidRPr="005D6D2B">
      <w:tab/>
    </w:r>
  </w:p>
  <w:p w14:paraId="7D2CBE34" w14:textId="77777777" w:rsidR="00A242C6" w:rsidRDefault="00A242C6" w:rsidP="00BF44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12A3C" w14:textId="77777777" w:rsidR="005A6B75" w:rsidRDefault="005A6B75" w:rsidP="00BF44AD">
      <w:r>
        <w:separator/>
      </w:r>
    </w:p>
    <w:p w14:paraId="717E100B" w14:textId="77777777" w:rsidR="005A6B75" w:rsidRDefault="005A6B75" w:rsidP="00BF44AD"/>
    <w:p w14:paraId="0C3A6472" w14:textId="77777777" w:rsidR="005A6B75" w:rsidRDefault="005A6B75" w:rsidP="00BF44AD"/>
  </w:footnote>
  <w:footnote w:type="continuationSeparator" w:id="0">
    <w:p w14:paraId="30E1B992" w14:textId="77777777" w:rsidR="005A6B75" w:rsidRDefault="005A6B75" w:rsidP="00BF44AD">
      <w:r>
        <w:continuationSeparator/>
      </w:r>
    </w:p>
    <w:p w14:paraId="5E98F652" w14:textId="77777777" w:rsidR="005A6B75" w:rsidRDefault="005A6B75" w:rsidP="00BF44AD"/>
    <w:p w14:paraId="2D2E914A" w14:textId="77777777" w:rsidR="005A6B75" w:rsidRDefault="005A6B75" w:rsidP="00BF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6BF6" w14:textId="77777777" w:rsidR="00A242C6" w:rsidRDefault="00A242C6" w:rsidP="00BF44AD">
    <w:pPr>
      <w:pStyle w:val="Kopfzeile"/>
    </w:pPr>
    <w:r w:rsidRPr="005D6D2B">
      <w:rPr>
        <w:noProof/>
        <w:lang w:eastAsia="de-DE" w:bidi="ne-NP"/>
      </w:rPr>
      <mc:AlternateContent>
        <mc:Choice Requires="wps">
          <w:drawing>
            <wp:anchor distT="0" distB="0" distL="114300" distR="114300" simplePos="0" relativeHeight="251660288" behindDoc="0" locked="0" layoutInCell="1" allowOverlap="1" wp14:anchorId="7FBF3F72" wp14:editId="66F1ED13">
              <wp:simplePos x="0" y="0"/>
              <wp:positionH relativeFrom="column">
                <wp:posOffset>2131695</wp:posOffset>
              </wp:positionH>
              <wp:positionV relativeFrom="page">
                <wp:posOffset>422910</wp:posOffset>
              </wp:positionV>
              <wp:extent cx="4688840" cy="382270"/>
              <wp:effectExtent l="0" t="0" r="0" b="0"/>
              <wp:wrapNone/>
              <wp:docPr id="8" name="Textfeld 8"/>
              <wp:cNvGraphicFramePr/>
              <a:graphic xmlns:a="http://schemas.openxmlformats.org/drawingml/2006/main">
                <a:graphicData uri="http://schemas.microsoft.com/office/word/2010/wordprocessingShape">
                  <wps:wsp>
                    <wps:cNvSpPr txBox="1"/>
                    <wps:spPr>
                      <a:xfrm>
                        <a:off x="0" y="0"/>
                        <a:ext cx="4688840" cy="382270"/>
                      </a:xfrm>
                      <a:prstGeom prst="rect">
                        <a:avLst/>
                      </a:prstGeom>
                      <a:noFill/>
                      <a:ln w="6350">
                        <a:noFill/>
                      </a:ln>
                    </wps:spPr>
                    <wps:txbx>
                      <w:txbxContent>
                        <w:p w14:paraId="2C2BEC4D" w14:textId="77777777" w:rsidR="00A242C6" w:rsidRPr="006538E0" w:rsidRDefault="00A242C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sidRPr="006538E0">
                            <w:rPr>
                              <w:rFonts w:ascii="Candara" w:hAnsi="Candara"/>
                              <w:color w:val="FFFFFF" w:themeColor="background1"/>
                              <w:sz w:val="16"/>
                              <w:szCs w:val="21"/>
                            </w:rPr>
                            <w:t xml:space="preserve">zum </w:t>
                          </w:r>
                          <w:r>
                            <w:rPr>
                              <w:rFonts w:ascii="Candara" w:hAnsi="Candara"/>
                              <w:color w:val="FFFFFF" w:themeColor="background1"/>
                              <w:sz w:val="16"/>
                              <w:szCs w:val="21"/>
                            </w:rPr>
                            <w:t>Jahresende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F3F72" id="_x0000_t202" coordsize="21600,21600" o:spt="202" path="m,l,21600r21600,l21600,xe">
              <v:stroke joinstyle="miter"/>
              <v:path gradientshapeok="t" o:connecttype="rect"/>
            </v:shapetype>
            <v:shape id="Textfeld 8" o:spid="_x0000_s1028" type="#_x0000_t202" style="position:absolute;left:0;text-align:left;margin-left:167.85pt;margin-top:33.3pt;width:369.2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" filled="f" stroked="f" strokeweight=".5pt">
              <v:textbox>
                <w:txbxContent>
                  <w:p w14:paraId="2C2BEC4D" w14:textId="77777777" w:rsidR="00A242C6" w:rsidRPr="006538E0" w:rsidRDefault="00A242C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sidRPr="006538E0">
                      <w:rPr>
                        <w:rFonts w:ascii="Candara" w:hAnsi="Candara"/>
                        <w:color w:val="FFFFFF" w:themeColor="background1"/>
                        <w:sz w:val="16"/>
                        <w:szCs w:val="21"/>
                      </w:rPr>
                      <w:t xml:space="preserve">zum </w:t>
                    </w:r>
                    <w:r>
                      <w:rPr>
                        <w:rFonts w:ascii="Candara" w:hAnsi="Candara"/>
                        <w:color w:val="FFFFFF" w:themeColor="background1"/>
                        <w:sz w:val="16"/>
                        <w:szCs w:val="21"/>
                      </w:rPr>
                      <w:t>Jahresende 2019</w:t>
                    </w:r>
                  </w:p>
                </w:txbxContent>
              </v:textbox>
              <w10:wrap anchory="page"/>
            </v:shape>
          </w:pict>
        </mc:Fallback>
      </mc:AlternateContent>
    </w:r>
    <w:r w:rsidRPr="005D6D2B">
      <w:rPr>
        <w:noProof/>
        <w:lang w:eastAsia="de-DE" w:bidi="ne-NP"/>
      </w:rPr>
      <mc:AlternateContent>
        <mc:Choice Requires="wps">
          <w:drawing>
            <wp:anchor distT="0" distB="0" distL="114300" distR="114300" simplePos="0" relativeHeight="251659264" behindDoc="0" locked="0" layoutInCell="1" allowOverlap="1" wp14:anchorId="6A20EB0F" wp14:editId="0BE693A4">
              <wp:simplePos x="0" y="0"/>
              <wp:positionH relativeFrom="column">
                <wp:posOffset>3001719</wp:posOffset>
              </wp:positionH>
              <wp:positionV relativeFrom="page">
                <wp:posOffset>467833</wp:posOffset>
              </wp:positionV>
              <wp:extent cx="3947928" cy="187325"/>
              <wp:effectExtent l="0" t="0" r="1905" b="3175"/>
              <wp:wrapNone/>
              <wp:docPr id="7" name="Rechteck 7"/>
              <wp:cNvGraphicFramePr/>
              <a:graphic xmlns:a="http://schemas.openxmlformats.org/drawingml/2006/main">
                <a:graphicData uri="http://schemas.microsoft.com/office/word/2010/wordprocessingShape">
                  <wps:wsp>
                    <wps:cNvSpPr/>
                    <wps:spPr>
                      <a:xfrm>
                        <a:off x="0" y="0"/>
                        <a:ext cx="3947928" cy="187325"/>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99803" id="Rechteck 7" o:spid="_x0000_s1026" style="position:absolute;margin-left:236.35pt;margin-top:36.85pt;width:310.8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" fillcolor="#2f5496 [2404]" stroked="f" strokeweight="1pt">
              <v:fill color2="#8eaadb [1940]" rotate="t" angle="135" colors="0 #2f5597;34079f #2f5597" focus="100%" type="gradient">
                <o:fill v:ext="view" type="gradientUnscaled"/>
              </v:fill>
              <w10:wrap anchory="page"/>
            </v:rect>
          </w:pict>
        </mc:Fallback>
      </mc:AlternateContent>
    </w:r>
  </w:p>
  <w:p w14:paraId="0052917D" w14:textId="77777777" w:rsidR="00A242C6" w:rsidRDefault="00A242C6" w:rsidP="00BF44AD"/>
  <w:p w14:paraId="7AA42912" w14:textId="77777777" w:rsidR="00A242C6" w:rsidRDefault="00A242C6" w:rsidP="00BF44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BFF"/>
    <w:multiLevelType w:val="hybridMultilevel"/>
    <w:tmpl w:val="D4347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A029A"/>
    <w:multiLevelType w:val="hybridMultilevel"/>
    <w:tmpl w:val="FAF069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90461D"/>
    <w:multiLevelType w:val="hybridMultilevel"/>
    <w:tmpl w:val="1B107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9E6F7A"/>
    <w:multiLevelType w:val="hybridMultilevel"/>
    <w:tmpl w:val="CCD485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06AAC"/>
    <w:multiLevelType w:val="hybridMultilevel"/>
    <w:tmpl w:val="33B28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2C0AB8"/>
    <w:multiLevelType w:val="multilevel"/>
    <w:tmpl w:val="FA4245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B0E8C"/>
    <w:multiLevelType w:val="hybridMultilevel"/>
    <w:tmpl w:val="8E886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492B18"/>
    <w:multiLevelType w:val="hybridMultilevel"/>
    <w:tmpl w:val="E8280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2337E9"/>
    <w:multiLevelType w:val="hybridMultilevel"/>
    <w:tmpl w:val="2C58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270C3A"/>
    <w:multiLevelType w:val="hybridMultilevel"/>
    <w:tmpl w:val="7BAAA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A6A14"/>
    <w:multiLevelType w:val="hybridMultilevel"/>
    <w:tmpl w:val="A5F64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C00828"/>
    <w:multiLevelType w:val="hybridMultilevel"/>
    <w:tmpl w:val="312E1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06C2C"/>
    <w:multiLevelType w:val="hybridMultilevel"/>
    <w:tmpl w:val="469C3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5F16E8"/>
    <w:multiLevelType w:val="hybridMultilevel"/>
    <w:tmpl w:val="14B0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D57B5B"/>
    <w:multiLevelType w:val="hybridMultilevel"/>
    <w:tmpl w:val="69A8B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057C82"/>
    <w:multiLevelType w:val="hybridMultilevel"/>
    <w:tmpl w:val="A8F2C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BB7E67"/>
    <w:multiLevelType w:val="hybridMultilevel"/>
    <w:tmpl w:val="FA424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073EB2"/>
    <w:multiLevelType w:val="hybridMultilevel"/>
    <w:tmpl w:val="7B6C4D6A"/>
    <w:lvl w:ilvl="0" w:tplc="4D0E71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C053EF"/>
    <w:multiLevelType w:val="hybridMultilevel"/>
    <w:tmpl w:val="C884E8DC"/>
    <w:lvl w:ilvl="0" w:tplc="FCDE80FE">
      <w:start w:val="1"/>
      <w:numFmt w:val="bullet"/>
      <w:pStyle w:val="Listenabsatz"/>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C8797E"/>
    <w:multiLevelType w:val="hybridMultilevel"/>
    <w:tmpl w:val="51BE4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5A2A0E"/>
    <w:multiLevelType w:val="hybridMultilevel"/>
    <w:tmpl w:val="B57862E2"/>
    <w:lvl w:ilvl="0" w:tplc="CF6044B6">
      <w:start w:val="1"/>
      <w:numFmt w:val="decimal"/>
      <w:pStyle w:val="berschrift1"/>
      <w:lvlText w:val="%1"/>
      <w:lvlJc w:val="left"/>
      <w:pPr>
        <w:ind w:left="491" w:hanging="491"/>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5C4947"/>
    <w:multiLevelType w:val="hybridMultilevel"/>
    <w:tmpl w:val="F5BCE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DA1B19"/>
    <w:multiLevelType w:val="hybridMultilevel"/>
    <w:tmpl w:val="73AE6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8"/>
  </w:num>
  <w:num w:numId="5">
    <w:abstractNumId w:val="20"/>
  </w:num>
  <w:num w:numId="6">
    <w:abstractNumId w:val="21"/>
  </w:num>
  <w:num w:numId="7">
    <w:abstractNumId w:val="4"/>
  </w:num>
  <w:num w:numId="8">
    <w:abstractNumId w:val="22"/>
  </w:num>
  <w:num w:numId="9">
    <w:abstractNumId w:val="15"/>
  </w:num>
  <w:num w:numId="10">
    <w:abstractNumId w:val="0"/>
  </w:num>
  <w:num w:numId="11">
    <w:abstractNumId w:val="8"/>
  </w:num>
  <w:num w:numId="12">
    <w:abstractNumId w:val="13"/>
  </w:num>
  <w:num w:numId="13">
    <w:abstractNumId w:val="9"/>
  </w:num>
  <w:num w:numId="14">
    <w:abstractNumId w:val="3"/>
  </w:num>
  <w:num w:numId="15">
    <w:abstractNumId w:val="11"/>
  </w:num>
  <w:num w:numId="16">
    <w:abstractNumId w:val="19"/>
  </w:num>
  <w:num w:numId="17">
    <w:abstractNumId w:val="6"/>
  </w:num>
  <w:num w:numId="18">
    <w:abstractNumId w:val="14"/>
  </w:num>
  <w:num w:numId="19">
    <w:abstractNumId w:val="2"/>
  </w:num>
  <w:num w:numId="20">
    <w:abstractNumId w:val="7"/>
  </w:num>
  <w:num w:numId="21">
    <w:abstractNumId w:val="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4E4DC2-7538-4311-8753-4DFE647C416C}"/>
    <w:docVar w:name="dgnword-eventsink" w:val="422812944"/>
  </w:docVars>
  <w:rsids>
    <w:rsidRoot w:val="00197CA6"/>
    <w:rsid w:val="00002D4F"/>
    <w:rsid w:val="00007AA4"/>
    <w:rsid w:val="0002281F"/>
    <w:rsid w:val="00072A57"/>
    <w:rsid w:val="0007718A"/>
    <w:rsid w:val="000B4270"/>
    <w:rsid w:val="000C3AD6"/>
    <w:rsid w:val="000D742B"/>
    <w:rsid w:val="000E11B4"/>
    <w:rsid w:val="000F2433"/>
    <w:rsid w:val="000F27ED"/>
    <w:rsid w:val="000F5BDC"/>
    <w:rsid w:val="00104965"/>
    <w:rsid w:val="0012372F"/>
    <w:rsid w:val="00125F9F"/>
    <w:rsid w:val="00126CC7"/>
    <w:rsid w:val="00133231"/>
    <w:rsid w:val="001408B8"/>
    <w:rsid w:val="00144114"/>
    <w:rsid w:val="00162815"/>
    <w:rsid w:val="00186EB6"/>
    <w:rsid w:val="00197CA6"/>
    <w:rsid w:val="001A0174"/>
    <w:rsid w:val="001B5C29"/>
    <w:rsid w:val="001B60AB"/>
    <w:rsid w:val="001C4CF7"/>
    <w:rsid w:val="001D48C1"/>
    <w:rsid w:val="001F3BFE"/>
    <w:rsid w:val="00201832"/>
    <w:rsid w:val="00202E89"/>
    <w:rsid w:val="002204A9"/>
    <w:rsid w:val="0025724F"/>
    <w:rsid w:val="00263200"/>
    <w:rsid w:val="002679F7"/>
    <w:rsid w:val="00283009"/>
    <w:rsid w:val="0028465B"/>
    <w:rsid w:val="002846A3"/>
    <w:rsid w:val="002848A0"/>
    <w:rsid w:val="002943E0"/>
    <w:rsid w:val="002A2001"/>
    <w:rsid w:val="002D54EB"/>
    <w:rsid w:val="002E12EE"/>
    <w:rsid w:val="002E49E6"/>
    <w:rsid w:val="002F1969"/>
    <w:rsid w:val="002F46AD"/>
    <w:rsid w:val="00313044"/>
    <w:rsid w:val="00315229"/>
    <w:rsid w:val="00316055"/>
    <w:rsid w:val="0033335D"/>
    <w:rsid w:val="0033402A"/>
    <w:rsid w:val="0034638D"/>
    <w:rsid w:val="00347690"/>
    <w:rsid w:val="00362F82"/>
    <w:rsid w:val="00380336"/>
    <w:rsid w:val="003A64F0"/>
    <w:rsid w:val="003C36BB"/>
    <w:rsid w:val="003D1ADF"/>
    <w:rsid w:val="003E6CFB"/>
    <w:rsid w:val="004136EA"/>
    <w:rsid w:val="00417F7C"/>
    <w:rsid w:val="004314DA"/>
    <w:rsid w:val="00440238"/>
    <w:rsid w:val="00451ADD"/>
    <w:rsid w:val="004555FF"/>
    <w:rsid w:val="0045754B"/>
    <w:rsid w:val="00460A73"/>
    <w:rsid w:val="00461310"/>
    <w:rsid w:val="004A38B6"/>
    <w:rsid w:val="004F7FB2"/>
    <w:rsid w:val="00502029"/>
    <w:rsid w:val="00506D3C"/>
    <w:rsid w:val="0051789E"/>
    <w:rsid w:val="00523DE2"/>
    <w:rsid w:val="0053605A"/>
    <w:rsid w:val="005437D0"/>
    <w:rsid w:val="005451BD"/>
    <w:rsid w:val="005515A0"/>
    <w:rsid w:val="005520F8"/>
    <w:rsid w:val="00557F5D"/>
    <w:rsid w:val="00564471"/>
    <w:rsid w:val="005965B3"/>
    <w:rsid w:val="005A109A"/>
    <w:rsid w:val="005A6B75"/>
    <w:rsid w:val="005B6C98"/>
    <w:rsid w:val="005D3017"/>
    <w:rsid w:val="005D69F5"/>
    <w:rsid w:val="005D6D2B"/>
    <w:rsid w:val="005D7762"/>
    <w:rsid w:val="005E7E05"/>
    <w:rsid w:val="0060233C"/>
    <w:rsid w:val="00604C92"/>
    <w:rsid w:val="00606ABE"/>
    <w:rsid w:val="0062314D"/>
    <w:rsid w:val="00626354"/>
    <w:rsid w:val="006365EE"/>
    <w:rsid w:val="00637134"/>
    <w:rsid w:val="006379ED"/>
    <w:rsid w:val="006538E0"/>
    <w:rsid w:val="00665F96"/>
    <w:rsid w:val="00666E82"/>
    <w:rsid w:val="0067775D"/>
    <w:rsid w:val="00690AF6"/>
    <w:rsid w:val="00692DEB"/>
    <w:rsid w:val="006A16E6"/>
    <w:rsid w:val="006B560A"/>
    <w:rsid w:val="006D7D8C"/>
    <w:rsid w:val="006F702B"/>
    <w:rsid w:val="00702D22"/>
    <w:rsid w:val="0070465F"/>
    <w:rsid w:val="0070467C"/>
    <w:rsid w:val="00706C63"/>
    <w:rsid w:val="00730A9D"/>
    <w:rsid w:val="007370CC"/>
    <w:rsid w:val="00776A1D"/>
    <w:rsid w:val="00777CB2"/>
    <w:rsid w:val="007803EE"/>
    <w:rsid w:val="00785A50"/>
    <w:rsid w:val="007B4BDB"/>
    <w:rsid w:val="007B510C"/>
    <w:rsid w:val="007C4DD9"/>
    <w:rsid w:val="007F5078"/>
    <w:rsid w:val="008248ED"/>
    <w:rsid w:val="008254B0"/>
    <w:rsid w:val="00831E45"/>
    <w:rsid w:val="00831ED0"/>
    <w:rsid w:val="00834335"/>
    <w:rsid w:val="008374FA"/>
    <w:rsid w:val="0085139D"/>
    <w:rsid w:val="0085559B"/>
    <w:rsid w:val="00857112"/>
    <w:rsid w:val="00862CFF"/>
    <w:rsid w:val="008660C4"/>
    <w:rsid w:val="00874968"/>
    <w:rsid w:val="00883434"/>
    <w:rsid w:val="00884C81"/>
    <w:rsid w:val="00896678"/>
    <w:rsid w:val="008C2B59"/>
    <w:rsid w:val="008C6534"/>
    <w:rsid w:val="009077C2"/>
    <w:rsid w:val="00913CF7"/>
    <w:rsid w:val="009309FE"/>
    <w:rsid w:val="009416F6"/>
    <w:rsid w:val="00974C4F"/>
    <w:rsid w:val="00982763"/>
    <w:rsid w:val="00986464"/>
    <w:rsid w:val="00986EC4"/>
    <w:rsid w:val="009A4151"/>
    <w:rsid w:val="009B4B6D"/>
    <w:rsid w:val="009D085A"/>
    <w:rsid w:val="009F4CF5"/>
    <w:rsid w:val="009F50D0"/>
    <w:rsid w:val="00A12990"/>
    <w:rsid w:val="00A17C95"/>
    <w:rsid w:val="00A242C6"/>
    <w:rsid w:val="00A2431F"/>
    <w:rsid w:val="00A401CE"/>
    <w:rsid w:val="00A409A0"/>
    <w:rsid w:val="00A737CF"/>
    <w:rsid w:val="00A83919"/>
    <w:rsid w:val="00A92D58"/>
    <w:rsid w:val="00AB551C"/>
    <w:rsid w:val="00AE43F7"/>
    <w:rsid w:val="00AE6E18"/>
    <w:rsid w:val="00AF3044"/>
    <w:rsid w:val="00AF4052"/>
    <w:rsid w:val="00B11D7A"/>
    <w:rsid w:val="00B22831"/>
    <w:rsid w:val="00B36E22"/>
    <w:rsid w:val="00B45A78"/>
    <w:rsid w:val="00B71C4E"/>
    <w:rsid w:val="00B76CFE"/>
    <w:rsid w:val="00B913B5"/>
    <w:rsid w:val="00BA5C9A"/>
    <w:rsid w:val="00BA640C"/>
    <w:rsid w:val="00BB2EA1"/>
    <w:rsid w:val="00BB30AD"/>
    <w:rsid w:val="00BB40BE"/>
    <w:rsid w:val="00BC54D1"/>
    <w:rsid w:val="00BD634A"/>
    <w:rsid w:val="00BF0256"/>
    <w:rsid w:val="00BF44AD"/>
    <w:rsid w:val="00C013B9"/>
    <w:rsid w:val="00C03890"/>
    <w:rsid w:val="00C04E6E"/>
    <w:rsid w:val="00C239DC"/>
    <w:rsid w:val="00C25190"/>
    <w:rsid w:val="00C26A91"/>
    <w:rsid w:val="00C330C0"/>
    <w:rsid w:val="00C403A1"/>
    <w:rsid w:val="00C47093"/>
    <w:rsid w:val="00C53865"/>
    <w:rsid w:val="00C54F37"/>
    <w:rsid w:val="00C76AF5"/>
    <w:rsid w:val="00C83BD8"/>
    <w:rsid w:val="00C975AC"/>
    <w:rsid w:val="00CA1E81"/>
    <w:rsid w:val="00CA3EAD"/>
    <w:rsid w:val="00CA5277"/>
    <w:rsid w:val="00D10F65"/>
    <w:rsid w:val="00D205A5"/>
    <w:rsid w:val="00D237EF"/>
    <w:rsid w:val="00D326FA"/>
    <w:rsid w:val="00D37AA8"/>
    <w:rsid w:val="00D47F6C"/>
    <w:rsid w:val="00D5433E"/>
    <w:rsid w:val="00D56D18"/>
    <w:rsid w:val="00D82B0E"/>
    <w:rsid w:val="00D94440"/>
    <w:rsid w:val="00DA55F9"/>
    <w:rsid w:val="00DB7350"/>
    <w:rsid w:val="00DE1607"/>
    <w:rsid w:val="00DE195C"/>
    <w:rsid w:val="00DF4640"/>
    <w:rsid w:val="00DF4826"/>
    <w:rsid w:val="00DF5329"/>
    <w:rsid w:val="00E001DA"/>
    <w:rsid w:val="00E13D8C"/>
    <w:rsid w:val="00E2150E"/>
    <w:rsid w:val="00E263EB"/>
    <w:rsid w:val="00E45AC2"/>
    <w:rsid w:val="00E564CA"/>
    <w:rsid w:val="00E84791"/>
    <w:rsid w:val="00E9408D"/>
    <w:rsid w:val="00EA6E3C"/>
    <w:rsid w:val="00EA7372"/>
    <w:rsid w:val="00EB24CF"/>
    <w:rsid w:val="00EC114C"/>
    <w:rsid w:val="00EE3212"/>
    <w:rsid w:val="00EE4BCF"/>
    <w:rsid w:val="00EE5CC7"/>
    <w:rsid w:val="00F01CE6"/>
    <w:rsid w:val="00F165E5"/>
    <w:rsid w:val="00F24C01"/>
    <w:rsid w:val="00F323C6"/>
    <w:rsid w:val="00F63465"/>
    <w:rsid w:val="00F642C3"/>
    <w:rsid w:val="00F7273A"/>
    <w:rsid w:val="00F72A72"/>
    <w:rsid w:val="00F74EA0"/>
    <w:rsid w:val="00F8529A"/>
    <w:rsid w:val="00F853DE"/>
    <w:rsid w:val="00F95ACA"/>
    <w:rsid w:val="00FA1AD2"/>
    <w:rsid w:val="00FC017A"/>
    <w:rsid w:val="00FC1C43"/>
    <w:rsid w:val="00FC6DAA"/>
    <w:rsid w:val="00FD2DD6"/>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709A2"/>
  <w15:chartTrackingRefBased/>
  <w15:docId w15:val="{C4E44FAC-AEA4-4397-8899-03D2B75A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4AD"/>
    <w:pPr>
      <w:spacing w:after="120" w:line="276" w:lineRule="auto"/>
      <w:jc w:val="both"/>
    </w:pPr>
    <w:rPr>
      <w:rFonts w:asciiTheme="majorHAnsi" w:hAnsiTheme="majorHAnsi"/>
      <w:sz w:val="20"/>
    </w:rPr>
  </w:style>
  <w:style w:type="paragraph" w:styleId="berschrift1">
    <w:name w:val="heading 1"/>
    <w:basedOn w:val="Standard"/>
    <w:next w:val="Standard"/>
    <w:link w:val="berschrift1Zchn"/>
    <w:uiPriority w:val="9"/>
    <w:qFormat/>
    <w:rsid w:val="00BF44AD"/>
    <w:pPr>
      <w:keepNext/>
      <w:keepLines/>
      <w:numPr>
        <w:numId w:val="5"/>
      </w:numPr>
      <w:spacing w:before="240"/>
      <w:ind w:left="426" w:hanging="426"/>
      <w:jc w:val="left"/>
      <w:outlineLvl w:val="0"/>
    </w:pPr>
    <w:rPr>
      <w:rFonts w:asciiTheme="minorHAnsi" w:eastAsiaTheme="majorEastAsia" w:hAnsiTheme="minorHAnsi" w:cstheme="majorBidi"/>
      <w:b/>
      <w:color w:val="2F5496" w:themeColor="accent1" w:themeShade="BF"/>
      <w:sz w:val="24"/>
      <w:szCs w:val="32"/>
    </w:rPr>
  </w:style>
  <w:style w:type="paragraph" w:styleId="berschrift2">
    <w:name w:val="heading 2"/>
    <w:basedOn w:val="Standard"/>
    <w:next w:val="Standard"/>
    <w:link w:val="berschrift2Zchn"/>
    <w:uiPriority w:val="9"/>
    <w:unhideWhenUsed/>
    <w:qFormat/>
    <w:rsid w:val="00776A1D"/>
    <w:pPr>
      <w:keepNext/>
      <w:keepLines/>
      <w:spacing w:before="240"/>
      <w:jc w:val="left"/>
      <w:outlineLvl w:val="1"/>
    </w:pPr>
    <w:rPr>
      <w:rFonts w:asciiTheme="minorHAnsi" w:eastAsiaTheme="majorEastAsia" w:hAnsiTheme="minorHAnsi" w:cstheme="majorBidi"/>
      <w:b/>
      <w:color w:val="2F5496" w:themeColor="accent1" w:themeShade="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rsid w:val="008248ED"/>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8248ED"/>
    <w:rPr>
      <w:rFonts w:eastAsiaTheme="minorEastAsia"/>
      <w:sz w:val="22"/>
      <w:szCs w:val="22"/>
      <w:lang w:val="en-US" w:eastAsia="zh-CN"/>
    </w:rPr>
  </w:style>
  <w:style w:type="paragraph" w:styleId="Sprechblasentext">
    <w:name w:val="Balloon Text"/>
    <w:basedOn w:val="Standard"/>
    <w:link w:val="SprechblasentextZchn"/>
    <w:uiPriority w:val="99"/>
    <w:semiHidden/>
    <w:unhideWhenUsed/>
    <w:rsid w:val="008248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248ED"/>
    <w:rPr>
      <w:rFonts w:ascii="Times New Roman" w:hAnsi="Times New Roman" w:cs="Times New Roman"/>
      <w:sz w:val="18"/>
      <w:szCs w:val="18"/>
    </w:rPr>
  </w:style>
  <w:style w:type="paragraph" w:styleId="Kopfzeile">
    <w:name w:val="header"/>
    <w:basedOn w:val="Standard"/>
    <w:link w:val="KopfzeileZchn"/>
    <w:uiPriority w:val="99"/>
    <w:unhideWhenUsed/>
    <w:rsid w:val="00E263EB"/>
    <w:pPr>
      <w:tabs>
        <w:tab w:val="center" w:pos="4536"/>
        <w:tab w:val="right" w:pos="9072"/>
      </w:tabs>
    </w:pPr>
  </w:style>
  <w:style w:type="character" w:customStyle="1" w:styleId="KopfzeileZchn">
    <w:name w:val="Kopfzeile Zchn"/>
    <w:basedOn w:val="Absatz-Standardschriftart"/>
    <w:link w:val="Kopfzeile"/>
    <w:uiPriority w:val="99"/>
    <w:rsid w:val="00E263EB"/>
  </w:style>
  <w:style w:type="paragraph" w:styleId="Fuzeile">
    <w:name w:val="footer"/>
    <w:basedOn w:val="Standard"/>
    <w:link w:val="FuzeileZchn"/>
    <w:uiPriority w:val="99"/>
    <w:unhideWhenUsed/>
    <w:rsid w:val="00E263EB"/>
    <w:pPr>
      <w:tabs>
        <w:tab w:val="center" w:pos="4536"/>
        <w:tab w:val="right" w:pos="9072"/>
      </w:tabs>
    </w:pPr>
  </w:style>
  <w:style w:type="character" w:customStyle="1" w:styleId="FuzeileZchn">
    <w:name w:val="Fußzeile Zchn"/>
    <w:basedOn w:val="Absatz-Standardschriftart"/>
    <w:link w:val="Fuzeile"/>
    <w:uiPriority w:val="99"/>
    <w:rsid w:val="00E263EB"/>
  </w:style>
  <w:style w:type="character" w:styleId="IntensiverVerweis">
    <w:name w:val="Intense Reference"/>
    <w:basedOn w:val="Absatz-Standardschriftart"/>
    <w:uiPriority w:val="32"/>
    <w:rsid w:val="00EB24CF"/>
    <w:rPr>
      <w:b/>
      <w:bCs/>
      <w:smallCaps/>
      <w:color w:val="2F5496" w:themeColor="accent1" w:themeShade="BF"/>
      <w:spacing w:val="5"/>
      <w:sz w:val="24"/>
    </w:rPr>
  </w:style>
  <w:style w:type="character" w:styleId="Seitenzahl">
    <w:name w:val="page number"/>
    <w:basedOn w:val="Absatz-Standardschriftart"/>
    <w:uiPriority w:val="99"/>
    <w:semiHidden/>
    <w:unhideWhenUsed/>
    <w:rsid w:val="005D6D2B"/>
  </w:style>
  <w:style w:type="character" w:customStyle="1" w:styleId="berschrift1Zchn">
    <w:name w:val="Überschrift 1 Zchn"/>
    <w:basedOn w:val="Absatz-Standardschriftart"/>
    <w:link w:val="berschrift1"/>
    <w:uiPriority w:val="9"/>
    <w:rsid w:val="00BF44AD"/>
    <w:rPr>
      <w:rFonts w:eastAsiaTheme="majorEastAsia" w:cstheme="majorBidi"/>
      <w:b/>
      <w:color w:val="2F5496" w:themeColor="accent1" w:themeShade="BF"/>
      <w:szCs w:val="32"/>
    </w:rPr>
  </w:style>
  <w:style w:type="paragraph" w:styleId="Verzeichnis1">
    <w:name w:val="toc 1"/>
    <w:basedOn w:val="Standard"/>
    <w:next w:val="Standard"/>
    <w:autoRedefine/>
    <w:uiPriority w:val="39"/>
    <w:unhideWhenUsed/>
    <w:rsid w:val="00E84791"/>
    <w:pPr>
      <w:tabs>
        <w:tab w:val="left" w:pos="426"/>
        <w:tab w:val="right" w:pos="1899"/>
        <w:tab w:val="right" w:leader="dot" w:pos="4168"/>
      </w:tabs>
      <w:ind w:left="426" w:hanging="426"/>
      <w:jc w:val="left"/>
    </w:pPr>
    <w:rPr>
      <w:rFonts w:asciiTheme="minorHAnsi" w:eastAsiaTheme="minorEastAsia" w:hAnsiTheme="minorHAnsi"/>
      <w:noProof/>
      <w:color w:val="4472C4" w:themeColor="accent1"/>
      <w:lang w:eastAsia="de-DE"/>
    </w:rPr>
  </w:style>
  <w:style w:type="character" w:customStyle="1" w:styleId="berschrift2Zchn">
    <w:name w:val="Überschrift 2 Zchn"/>
    <w:basedOn w:val="Absatz-Standardschriftart"/>
    <w:link w:val="berschrift2"/>
    <w:uiPriority w:val="9"/>
    <w:rsid w:val="00776A1D"/>
    <w:rPr>
      <w:rFonts w:eastAsiaTheme="majorEastAsia" w:cstheme="majorBidi"/>
      <w:b/>
      <w:color w:val="2F5496" w:themeColor="accent1" w:themeShade="BF"/>
      <w:sz w:val="20"/>
      <w:szCs w:val="20"/>
    </w:rPr>
  </w:style>
  <w:style w:type="paragraph" w:styleId="Listenabsatz">
    <w:name w:val="List Paragraph"/>
    <w:aliases w:val="Aufzählung"/>
    <w:basedOn w:val="Standard"/>
    <w:uiPriority w:val="34"/>
    <w:qFormat/>
    <w:rsid w:val="009D085A"/>
    <w:pPr>
      <w:numPr>
        <w:numId w:val="4"/>
      </w:numPr>
      <w:spacing w:before="160"/>
      <w:ind w:left="340" w:hanging="227"/>
      <w:contextualSpacing/>
      <w:jc w:val="left"/>
    </w:pPr>
  </w:style>
  <w:style w:type="character" w:styleId="Fett">
    <w:name w:val="Strong"/>
    <w:uiPriority w:val="22"/>
    <w:qFormat/>
    <w:rsid w:val="009D085A"/>
    <w:rPr>
      <w:b/>
      <w:color w:val="595959" w:themeColor="text1" w:themeTint="A6"/>
    </w:rPr>
  </w:style>
  <w:style w:type="character" w:styleId="Hyperlink">
    <w:name w:val="Hyperlink"/>
    <w:basedOn w:val="Absatz-Standardschriftart"/>
    <w:uiPriority w:val="99"/>
    <w:unhideWhenUsed/>
    <w:rsid w:val="00201832"/>
    <w:rPr>
      <w:color w:val="0563C1" w:themeColor="hyperlink"/>
      <w:u w:val="single"/>
    </w:rPr>
  </w:style>
  <w:style w:type="paragraph" w:customStyle="1" w:styleId="Inhaltsverzeichnis">
    <w:name w:val="Inhaltsverzeichnis"/>
    <w:basedOn w:val="Standard"/>
    <w:next w:val="berschrift1"/>
    <w:link w:val="InhaltsverzeichnisZchn"/>
    <w:rsid w:val="002848A0"/>
    <w:pPr>
      <w:jc w:val="left"/>
    </w:pPr>
    <w:rPr>
      <w:color w:val="4472C4" w:themeColor="accent1"/>
    </w:rPr>
  </w:style>
  <w:style w:type="character" w:customStyle="1" w:styleId="InhaltsverzeichnisZchn">
    <w:name w:val="Inhaltsverzeichnis Zchn"/>
    <w:basedOn w:val="Absatz-Standardschriftart"/>
    <w:link w:val="Inhaltsverzeichnis"/>
    <w:rsid w:val="002848A0"/>
    <w:rPr>
      <w:rFonts w:asciiTheme="majorHAnsi" w:hAnsiTheme="majorHAnsi"/>
      <w:color w:val="4472C4" w:themeColor="accent1"/>
      <w:sz w:val="20"/>
    </w:rPr>
  </w:style>
  <w:style w:type="paragraph" w:styleId="Verzeichnis9">
    <w:name w:val="toc 9"/>
    <w:basedOn w:val="Standard"/>
    <w:next w:val="Standard"/>
    <w:autoRedefine/>
    <w:uiPriority w:val="39"/>
    <w:semiHidden/>
    <w:unhideWhenUsed/>
    <w:rsid w:val="009077C2"/>
    <w:pPr>
      <w:spacing w:after="100"/>
      <w:ind w:left="1600"/>
    </w:pPr>
  </w:style>
  <w:style w:type="character" w:customStyle="1" w:styleId="highlight">
    <w:name w:val="highlight"/>
    <w:basedOn w:val="Absatz-Standardschriftart"/>
    <w:rsid w:val="00B76CFE"/>
  </w:style>
  <w:style w:type="table" w:styleId="Tabellenraster">
    <w:name w:val="Table Grid"/>
    <w:basedOn w:val="NormaleTabelle"/>
    <w:uiPriority w:val="59"/>
    <w:rsid w:val="005B6C9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semiHidden/>
    <w:unhideWhenUsed/>
    <w:rsid w:val="00BA640C"/>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0012">
      <w:bodyDiv w:val="1"/>
      <w:marLeft w:val="0"/>
      <w:marRight w:val="0"/>
      <w:marTop w:val="0"/>
      <w:marBottom w:val="0"/>
      <w:divBdr>
        <w:top w:val="none" w:sz="0" w:space="0" w:color="auto"/>
        <w:left w:val="none" w:sz="0" w:space="0" w:color="auto"/>
        <w:bottom w:val="none" w:sz="0" w:space="0" w:color="auto"/>
        <w:right w:val="none" w:sz="0" w:space="0" w:color="auto"/>
      </w:divBdr>
    </w:div>
    <w:div w:id="211889824">
      <w:bodyDiv w:val="1"/>
      <w:marLeft w:val="0"/>
      <w:marRight w:val="0"/>
      <w:marTop w:val="0"/>
      <w:marBottom w:val="0"/>
      <w:divBdr>
        <w:top w:val="none" w:sz="0" w:space="0" w:color="auto"/>
        <w:left w:val="none" w:sz="0" w:space="0" w:color="auto"/>
        <w:bottom w:val="none" w:sz="0" w:space="0" w:color="auto"/>
        <w:right w:val="none" w:sz="0" w:space="0" w:color="auto"/>
      </w:divBdr>
      <w:divsChild>
        <w:div w:id="1957522440">
          <w:marLeft w:val="0"/>
          <w:marRight w:val="0"/>
          <w:marTop w:val="0"/>
          <w:marBottom w:val="0"/>
          <w:divBdr>
            <w:top w:val="none" w:sz="0" w:space="0" w:color="auto"/>
            <w:left w:val="none" w:sz="0" w:space="0" w:color="auto"/>
            <w:bottom w:val="none" w:sz="0" w:space="0" w:color="auto"/>
            <w:right w:val="none" w:sz="0" w:space="0" w:color="auto"/>
          </w:divBdr>
        </w:div>
      </w:divsChild>
    </w:div>
    <w:div w:id="604045449">
      <w:bodyDiv w:val="1"/>
      <w:marLeft w:val="0"/>
      <w:marRight w:val="0"/>
      <w:marTop w:val="0"/>
      <w:marBottom w:val="0"/>
      <w:divBdr>
        <w:top w:val="none" w:sz="0" w:space="0" w:color="auto"/>
        <w:left w:val="none" w:sz="0" w:space="0" w:color="auto"/>
        <w:bottom w:val="none" w:sz="0" w:space="0" w:color="auto"/>
        <w:right w:val="none" w:sz="0" w:space="0" w:color="auto"/>
      </w:divBdr>
      <w:divsChild>
        <w:div w:id="1028019464">
          <w:marLeft w:val="0"/>
          <w:marRight w:val="0"/>
          <w:marTop w:val="0"/>
          <w:marBottom w:val="0"/>
          <w:divBdr>
            <w:top w:val="none" w:sz="0" w:space="0" w:color="auto"/>
            <w:left w:val="none" w:sz="0" w:space="0" w:color="auto"/>
            <w:bottom w:val="none" w:sz="0" w:space="0" w:color="auto"/>
            <w:right w:val="none" w:sz="0" w:space="0" w:color="auto"/>
          </w:divBdr>
        </w:div>
      </w:divsChild>
    </w:div>
    <w:div w:id="692726567">
      <w:bodyDiv w:val="1"/>
      <w:marLeft w:val="0"/>
      <w:marRight w:val="0"/>
      <w:marTop w:val="0"/>
      <w:marBottom w:val="0"/>
      <w:divBdr>
        <w:top w:val="none" w:sz="0" w:space="0" w:color="auto"/>
        <w:left w:val="none" w:sz="0" w:space="0" w:color="auto"/>
        <w:bottom w:val="none" w:sz="0" w:space="0" w:color="auto"/>
        <w:right w:val="none" w:sz="0" w:space="0" w:color="auto"/>
      </w:divBdr>
    </w:div>
    <w:div w:id="770129683">
      <w:bodyDiv w:val="1"/>
      <w:marLeft w:val="0"/>
      <w:marRight w:val="0"/>
      <w:marTop w:val="0"/>
      <w:marBottom w:val="0"/>
      <w:divBdr>
        <w:top w:val="none" w:sz="0" w:space="0" w:color="auto"/>
        <w:left w:val="none" w:sz="0" w:space="0" w:color="auto"/>
        <w:bottom w:val="none" w:sz="0" w:space="0" w:color="auto"/>
        <w:right w:val="none" w:sz="0" w:space="0" w:color="auto"/>
      </w:divBdr>
    </w:div>
    <w:div w:id="1301810178">
      <w:bodyDiv w:val="1"/>
      <w:marLeft w:val="0"/>
      <w:marRight w:val="0"/>
      <w:marTop w:val="0"/>
      <w:marBottom w:val="0"/>
      <w:divBdr>
        <w:top w:val="none" w:sz="0" w:space="0" w:color="auto"/>
        <w:left w:val="none" w:sz="0" w:space="0" w:color="auto"/>
        <w:bottom w:val="none" w:sz="0" w:space="0" w:color="auto"/>
        <w:right w:val="none" w:sz="0" w:space="0" w:color="auto"/>
      </w:divBdr>
    </w:div>
    <w:div w:id="1408107958">
      <w:bodyDiv w:val="1"/>
      <w:marLeft w:val="0"/>
      <w:marRight w:val="0"/>
      <w:marTop w:val="0"/>
      <w:marBottom w:val="0"/>
      <w:divBdr>
        <w:top w:val="none" w:sz="0" w:space="0" w:color="auto"/>
        <w:left w:val="none" w:sz="0" w:space="0" w:color="auto"/>
        <w:bottom w:val="none" w:sz="0" w:space="0" w:color="auto"/>
        <w:right w:val="none" w:sz="0" w:space="0" w:color="auto"/>
      </w:divBdr>
      <w:divsChild>
        <w:div w:id="2047295511">
          <w:marLeft w:val="0"/>
          <w:marRight w:val="0"/>
          <w:marTop w:val="0"/>
          <w:marBottom w:val="0"/>
          <w:divBdr>
            <w:top w:val="none" w:sz="0" w:space="0" w:color="auto"/>
            <w:left w:val="none" w:sz="0" w:space="0" w:color="auto"/>
            <w:bottom w:val="none" w:sz="0" w:space="0" w:color="auto"/>
            <w:right w:val="none" w:sz="0" w:space="0" w:color="auto"/>
          </w:divBdr>
        </w:div>
      </w:divsChild>
    </w:div>
    <w:div w:id="1408578090">
      <w:bodyDiv w:val="1"/>
      <w:marLeft w:val="0"/>
      <w:marRight w:val="0"/>
      <w:marTop w:val="0"/>
      <w:marBottom w:val="0"/>
      <w:divBdr>
        <w:top w:val="none" w:sz="0" w:space="0" w:color="auto"/>
        <w:left w:val="none" w:sz="0" w:space="0" w:color="auto"/>
        <w:bottom w:val="none" w:sz="0" w:space="0" w:color="auto"/>
        <w:right w:val="none" w:sz="0" w:space="0" w:color="auto"/>
      </w:divBdr>
    </w:div>
    <w:div w:id="1420909138">
      <w:bodyDiv w:val="1"/>
      <w:marLeft w:val="0"/>
      <w:marRight w:val="0"/>
      <w:marTop w:val="0"/>
      <w:marBottom w:val="0"/>
      <w:divBdr>
        <w:top w:val="none" w:sz="0" w:space="0" w:color="auto"/>
        <w:left w:val="none" w:sz="0" w:space="0" w:color="auto"/>
        <w:bottom w:val="none" w:sz="0" w:space="0" w:color="auto"/>
        <w:right w:val="none" w:sz="0" w:space="0" w:color="auto"/>
      </w:divBdr>
      <w:divsChild>
        <w:div w:id="1993409498">
          <w:marLeft w:val="0"/>
          <w:marRight w:val="0"/>
          <w:marTop w:val="0"/>
          <w:marBottom w:val="0"/>
          <w:divBdr>
            <w:top w:val="none" w:sz="0" w:space="0" w:color="auto"/>
            <w:left w:val="none" w:sz="0" w:space="0" w:color="auto"/>
            <w:bottom w:val="none" w:sz="0" w:space="0" w:color="auto"/>
            <w:right w:val="none" w:sz="0" w:space="0" w:color="auto"/>
          </w:divBdr>
        </w:div>
      </w:divsChild>
    </w:div>
    <w:div w:id="1444764888">
      <w:bodyDiv w:val="1"/>
      <w:marLeft w:val="0"/>
      <w:marRight w:val="0"/>
      <w:marTop w:val="0"/>
      <w:marBottom w:val="0"/>
      <w:divBdr>
        <w:top w:val="none" w:sz="0" w:space="0" w:color="auto"/>
        <w:left w:val="none" w:sz="0" w:space="0" w:color="auto"/>
        <w:bottom w:val="none" w:sz="0" w:space="0" w:color="auto"/>
        <w:right w:val="none" w:sz="0" w:space="0" w:color="auto"/>
      </w:divBdr>
    </w:div>
    <w:div w:id="1458836170">
      <w:bodyDiv w:val="1"/>
      <w:marLeft w:val="0"/>
      <w:marRight w:val="0"/>
      <w:marTop w:val="0"/>
      <w:marBottom w:val="0"/>
      <w:divBdr>
        <w:top w:val="none" w:sz="0" w:space="0" w:color="auto"/>
        <w:left w:val="none" w:sz="0" w:space="0" w:color="auto"/>
        <w:bottom w:val="none" w:sz="0" w:space="0" w:color="auto"/>
        <w:right w:val="none" w:sz="0" w:space="0" w:color="auto"/>
      </w:divBdr>
    </w:div>
    <w:div w:id="2011178871">
      <w:bodyDiv w:val="1"/>
      <w:marLeft w:val="0"/>
      <w:marRight w:val="0"/>
      <w:marTop w:val="0"/>
      <w:marBottom w:val="0"/>
      <w:divBdr>
        <w:top w:val="none" w:sz="0" w:space="0" w:color="auto"/>
        <w:left w:val="none" w:sz="0" w:space="0" w:color="auto"/>
        <w:bottom w:val="none" w:sz="0" w:space="0" w:color="auto"/>
        <w:right w:val="none" w:sz="0" w:space="0" w:color="auto"/>
      </w:divBdr>
    </w:div>
    <w:div w:id="20406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05-Mandanten-Informationsbriefe\Entw&#252;rfe\Mandantenbrief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446501-3676-114C-A681-5C52049C13E7}">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AB02-8940-4C97-B8C3-1A20B2F5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Mandantenbrief_Vorlage</Template>
  <TotalTime>0</TotalTime>
  <Pages>6</Pages>
  <Words>1826</Words>
  <Characters>11511</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Ferstl</dc:creator>
  <cp:keywords/>
  <dc:description/>
  <cp:lastModifiedBy>Alexander Ebert</cp:lastModifiedBy>
  <cp:revision>2</cp:revision>
  <cp:lastPrinted>2019-10-31T11:08:00Z</cp:lastPrinted>
  <dcterms:created xsi:type="dcterms:W3CDTF">2019-12-19T08:24:00Z</dcterms:created>
  <dcterms:modified xsi:type="dcterms:W3CDTF">2019-12-19T08:24:00Z</dcterms:modified>
</cp:coreProperties>
</file>